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60" w:rsidRDefault="00084160" w:rsidP="00084160">
      <w:pPr>
        <w:pStyle w:val="a3"/>
        <w:widowControl/>
        <w:shd w:val="clear" w:color="auto" w:fill="FFFFFF"/>
        <w:spacing w:before="0" w:beforeAutospacing="0" w:after="0" w:afterAutospacing="0" w:line="570" w:lineRule="exact"/>
        <w:outlineLvl w:val="0"/>
        <w:rPr>
          <w:rFonts w:ascii="方正黑体_GBK" w:eastAsia="方正黑体_GBK" w:hAnsi="方正黑体_GBK" w:cs="方正黑体_GBK"/>
          <w:color w:val="191919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  <w:shd w:val="clear" w:color="auto" w:fill="FFFFFF"/>
        </w:rPr>
        <w:t>附件3</w:t>
      </w:r>
    </w:p>
    <w:p w:rsidR="00084160" w:rsidRDefault="00084160" w:rsidP="00084160">
      <w:pPr>
        <w:pStyle w:val="a3"/>
        <w:widowControl/>
        <w:shd w:val="clear" w:color="auto" w:fill="FFFFFF"/>
        <w:spacing w:before="0" w:beforeAutospacing="0" w:after="0" w:afterAutospacing="0" w:line="570" w:lineRule="exact"/>
        <w:outlineLvl w:val="0"/>
        <w:rPr>
          <w:rFonts w:ascii="方正黑体_GBK" w:eastAsia="方正黑体_GBK" w:hAnsi="方正黑体_GBK" w:cs="方正黑体_GBK"/>
          <w:color w:val="191919"/>
          <w:sz w:val="28"/>
          <w:szCs w:val="28"/>
          <w:shd w:val="clear" w:color="auto" w:fill="FFFFFF"/>
        </w:rPr>
      </w:pPr>
    </w:p>
    <w:p w:rsidR="00084160" w:rsidRDefault="00084160" w:rsidP="00084160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师 资 简 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介</w:t>
      </w:r>
      <w:proofErr w:type="gramEnd"/>
    </w:p>
    <w:p w:rsidR="00084160" w:rsidRDefault="00084160" w:rsidP="00084160">
      <w:pPr>
        <w:pStyle w:val="4"/>
        <w:spacing w:line="570" w:lineRule="exact"/>
        <w:ind w:left="1260"/>
      </w:pPr>
    </w:p>
    <w:p w:rsidR="00084160" w:rsidRDefault="00084160" w:rsidP="00084160">
      <w:pPr>
        <w:pStyle w:val="a3"/>
        <w:widowControl/>
        <w:shd w:val="clear" w:color="auto" w:fill="FFFFFF"/>
        <w:spacing w:before="0" w:beforeAutospacing="0" w:after="0" w:afterAutospacing="0" w:line="570" w:lineRule="exact"/>
        <w:ind w:firstLineChars="200" w:firstLine="643"/>
        <w:jc w:val="both"/>
        <w:outlineLvl w:val="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何菁</w:t>
      </w:r>
      <w:r>
        <w:rPr>
          <w:rFonts w:ascii="宋体" w:eastAsia="方正仿宋_GBK" w:hAnsi="宋体" w:cs="方正仿宋_GBK" w:hint="eastAsia"/>
          <w:sz w:val="32"/>
          <w:szCs w:val="32"/>
        </w:rPr>
        <w:t>，己任律师事务所创办人，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Journal of WTO and China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（《世界贸易组织与中国》）期刊编委会委员。毕业</w:t>
      </w:r>
      <w:r>
        <w:rPr>
          <w:rFonts w:ascii="宋体" w:eastAsia="方正仿宋_GBK" w:hAnsi="宋体" w:cs="方正仿宋_GBK" w:hint="eastAsia"/>
          <w:sz w:val="32"/>
          <w:szCs w:val="32"/>
        </w:rPr>
        <w:t>于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北京大学物理系和知识产权学院，美国圣母大学职业法律博士学位（</w:t>
      </w:r>
      <w:r>
        <w:rPr>
          <w:rFonts w:ascii="宋体" w:eastAsia="方正仿宋_GBK" w:hAnsi="宋体" w:cs="方正仿宋_GBK" w:hint="eastAsia"/>
          <w:sz w:val="32"/>
          <w:szCs w:val="32"/>
        </w:rPr>
        <w:t>J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.D.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，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2000</w:t>
      </w:r>
      <w:r>
        <w:rPr>
          <w:rFonts w:ascii="宋体" w:eastAsia="方正仿宋_GBK" w:hAnsi="宋体" w:cs="方正仿宋_GBK" w:hint="eastAsia"/>
          <w:sz w:val="32"/>
          <w:szCs w:val="32"/>
          <w:lang w:val="en-GB"/>
        </w:rPr>
        <w:t>），是中国执业律师、专利代理人及美国加州执业律师，</w:t>
      </w:r>
      <w:r>
        <w:rPr>
          <w:rFonts w:ascii="宋体" w:eastAsia="方正仿宋_GBK" w:hAnsi="宋体" w:cs="方正仿宋_GBK" w:hint="eastAsia"/>
          <w:sz w:val="32"/>
          <w:szCs w:val="32"/>
        </w:rPr>
        <w:t>具有丰富中外法律实践经验，为国内外领先高科技企业、著名品牌、大型产业协会提供了复杂知识产权诉讼、合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规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业务、技术许可、立法政策等领域的咨询服务，处理过多起有国际影响的重大技术纠纷案件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, </w:t>
      </w:r>
      <w:r>
        <w:rPr>
          <w:rFonts w:ascii="宋体" w:eastAsia="方正仿宋_GBK" w:hAnsi="宋体" w:cs="方正仿宋_GBK" w:hint="eastAsia"/>
          <w:sz w:val="32"/>
          <w:szCs w:val="32"/>
        </w:rPr>
        <w:t>多年专注无线通讯、半导体、医药和医疗器械领域的诉讼和许可业务。获得业内钱伯斯、</w:t>
      </w:r>
      <w:r>
        <w:rPr>
          <w:rFonts w:ascii="宋体" w:eastAsia="方正仿宋_GBK" w:hAnsi="宋体" w:cs="方正仿宋_GBK" w:hint="eastAsia"/>
          <w:sz w:val="32"/>
          <w:szCs w:val="32"/>
        </w:rPr>
        <w:t>Legal 500</w:t>
      </w:r>
      <w:r>
        <w:rPr>
          <w:rFonts w:ascii="宋体" w:eastAsia="方正仿宋_GBK" w:hAnsi="宋体" w:cs="方正仿宋_GBK" w:hint="eastAsia"/>
          <w:sz w:val="32"/>
          <w:szCs w:val="32"/>
        </w:rPr>
        <w:t>、</w:t>
      </w:r>
      <w:r>
        <w:rPr>
          <w:rFonts w:ascii="宋体" w:eastAsia="方正仿宋_GBK" w:hAnsi="宋体" w:cs="方正仿宋_GBK" w:hint="eastAsia"/>
          <w:sz w:val="32"/>
          <w:szCs w:val="32"/>
        </w:rPr>
        <w:t>IAM Strategist 300</w:t>
      </w:r>
      <w:r>
        <w:rPr>
          <w:rFonts w:ascii="宋体" w:eastAsia="方正仿宋_GBK" w:hAnsi="宋体" w:cs="方正仿宋_GBK" w:hint="eastAsia"/>
          <w:sz w:val="32"/>
          <w:szCs w:val="32"/>
        </w:rPr>
        <w:t>，</w:t>
      </w:r>
      <w:r>
        <w:rPr>
          <w:rFonts w:ascii="宋体" w:eastAsia="方正仿宋_GBK" w:hAnsi="宋体" w:cs="方正仿宋_GBK" w:hint="eastAsia"/>
          <w:sz w:val="32"/>
          <w:szCs w:val="32"/>
        </w:rPr>
        <w:t>Managing IP</w:t>
      </w:r>
      <w:r>
        <w:rPr>
          <w:rFonts w:ascii="宋体" w:eastAsia="方正仿宋_GBK" w:hAnsi="宋体" w:cs="方正仿宋_GBK" w:hint="eastAsia"/>
          <w:sz w:val="32"/>
          <w:szCs w:val="32"/>
        </w:rPr>
        <w:t>等评级机构的认可。</w:t>
      </w:r>
    </w:p>
    <w:p w:rsidR="00084160" w:rsidRDefault="00084160" w:rsidP="00084160">
      <w:pPr>
        <w:adjustRightInd w:val="0"/>
        <w:snapToGrid w:val="0"/>
        <w:spacing w:line="570" w:lineRule="exact"/>
        <w:rPr>
          <w:rFonts w:ascii="宋体" w:eastAsia="方正仿宋_GBK" w:hAnsi="宋体" w:cs="方正仿宋_GBK"/>
          <w:sz w:val="32"/>
          <w:szCs w:val="32"/>
          <w:lang w:val="en-GB"/>
        </w:rPr>
      </w:pPr>
    </w:p>
    <w:p w:rsidR="00084160" w:rsidRDefault="00084160" w:rsidP="00084160">
      <w:pPr>
        <w:spacing w:line="570" w:lineRule="exact"/>
        <w:ind w:firstLineChars="200" w:firstLine="643"/>
        <w:jc w:val="left"/>
        <w:rPr>
          <w:rFonts w:ascii="宋体" w:eastAsia="方正仿宋_GBK" w:hAnsi="宋体" w:cs="方正仿宋_GBK"/>
          <w:kern w:val="0"/>
          <w:sz w:val="32"/>
          <w:szCs w:val="32"/>
          <w:lang w:val="en-GB"/>
        </w:rPr>
      </w:pPr>
      <w:r>
        <w:rPr>
          <w:rFonts w:ascii="宋体" w:eastAsia="方正仿宋_GBK" w:hAnsi="宋体" w:cs="方正仿宋_GBK" w:hint="eastAsia"/>
          <w:b/>
          <w:bCs/>
          <w:kern w:val="0"/>
          <w:sz w:val="32"/>
          <w:szCs w:val="32"/>
          <w:lang/>
        </w:rPr>
        <w:t>李静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，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南京苏高专利商标事务所副所长，合伙人，专利代理师，中华全国专利代理人协会师资库讲师，</w:t>
      </w:r>
      <w:r>
        <w:rPr>
          <w:rFonts w:ascii="宋体" w:eastAsia="方正仿宋_GBK" w:hAnsi="宋体" w:cs="方正仿宋_GBK"/>
          <w:kern w:val="0"/>
          <w:sz w:val="32"/>
          <w:szCs w:val="32"/>
          <w:lang/>
        </w:rPr>
        <w:t>江苏省海外知识产权纠纷应对指导专家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。拥有知识产权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和化工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双学位，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擅长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专利分析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评议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、高价值专利培育、专利复审无效、知识产权战略制定等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知识产权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法律事务。作为项目负</w:t>
      </w:r>
      <w:r>
        <w:rPr>
          <w:rFonts w:ascii="宋体" w:eastAsia="方正仿宋_GBK" w:hAnsi="宋体" w:cs="方正仿宋_GBK"/>
          <w:kern w:val="0"/>
          <w:sz w:val="32"/>
          <w:szCs w:val="32"/>
          <w:lang w:val="en-GB"/>
        </w:rPr>
        <w:t>责人承担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国家和省市区级知识产权分析评议项目，为国内外知名创新主体开展</w:t>
      </w:r>
      <w:r>
        <w:rPr>
          <w:rFonts w:ascii="宋体" w:eastAsia="方正仿宋_GBK" w:hAnsi="宋体" w:cs="方正仿宋_GBK"/>
          <w:kern w:val="0"/>
          <w:sz w:val="32"/>
          <w:szCs w:val="32"/>
          <w:lang w:val="en-GB"/>
        </w:rPr>
        <w:t>自由运作权分析（</w:t>
      </w:r>
      <w:r>
        <w:rPr>
          <w:rFonts w:ascii="宋体" w:eastAsia="方正仿宋_GBK" w:hAnsi="宋体" w:cs="方正仿宋_GBK"/>
          <w:kern w:val="0"/>
          <w:sz w:val="32"/>
          <w:szCs w:val="32"/>
          <w:lang/>
        </w:rPr>
        <w:t>FTO</w:t>
      </w:r>
      <w:r>
        <w:rPr>
          <w:rFonts w:ascii="宋体" w:eastAsia="方正仿宋_GBK" w:hAnsi="宋体" w:cs="方正仿宋_GBK"/>
          <w:kern w:val="0"/>
          <w:sz w:val="32"/>
          <w:szCs w:val="32"/>
          <w:lang w:val="en-GB"/>
        </w:rPr>
        <w:t>）、高价值专利培育、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专利导航</w:t>
      </w:r>
      <w:r>
        <w:rPr>
          <w:rFonts w:ascii="宋体" w:eastAsia="方正仿宋_GBK" w:hAnsi="宋体" w:cs="方正仿宋_GBK"/>
          <w:kern w:val="0"/>
          <w:sz w:val="32"/>
          <w:szCs w:val="32"/>
          <w:lang w:val="en-GB"/>
        </w:rPr>
        <w:t>、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专利无效、知识产权尽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lastRenderedPageBreak/>
        <w:t>职调查及</w:t>
      </w:r>
      <w:r>
        <w:rPr>
          <w:rFonts w:ascii="宋体" w:eastAsia="方正仿宋_GBK" w:hAnsi="宋体" w:cs="方正仿宋_GBK"/>
          <w:kern w:val="0"/>
          <w:sz w:val="32"/>
          <w:szCs w:val="32"/>
          <w:lang w:val="en-GB"/>
        </w:rPr>
        <w:t>战略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规划制定</w:t>
      </w:r>
      <w:r>
        <w:rPr>
          <w:rFonts w:ascii="宋体" w:eastAsia="方正仿宋_GBK" w:hAnsi="宋体" w:cs="方正仿宋_GBK"/>
          <w:kern w:val="0"/>
          <w:sz w:val="32"/>
          <w:szCs w:val="32"/>
          <w:lang w:val="en-GB"/>
        </w:rPr>
        <w:t>等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工作；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作为主要起草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人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参与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专利申请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预审、复审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及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无效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等地方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标准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的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制定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工作等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 w:val="en-GB"/>
        </w:rPr>
        <w:t>。</w:t>
      </w:r>
    </w:p>
    <w:p w:rsidR="00084160" w:rsidRDefault="00084160" w:rsidP="00084160">
      <w:pPr>
        <w:spacing w:line="570" w:lineRule="exact"/>
        <w:ind w:firstLineChars="200" w:firstLine="640"/>
        <w:jc w:val="left"/>
        <w:rPr>
          <w:rFonts w:ascii="宋体" w:eastAsia="方正仿宋_GBK" w:hAnsi="宋体" w:cs="方正仿宋_GBK"/>
          <w:kern w:val="0"/>
          <w:sz w:val="32"/>
          <w:szCs w:val="32"/>
          <w:lang w:val="en-GB"/>
        </w:rPr>
      </w:pPr>
    </w:p>
    <w:p w:rsidR="00084160" w:rsidRDefault="00084160" w:rsidP="00084160">
      <w:pPr>
        <w:spacing w:line="570" w:lineRule="exact"/>
        <w:ind w:firstLineChars="200" w:firstLine="643"/>
        <w:rPr>
          <w:rFonts w:ascii="宋体" w:eastAsia="方正仿宋_GBK" w:hAnsi="宋体" w:cs="方正仿宋_GBK"/>
          <w:kern w:val="0"/>
          <w:sz w:val="32"/>
          <w:szCs w:val="32"/>
          <w:lang/>
        </w:rPr>
      </w:pPr>
      <w:r>
        <w:rPr>
          <w:rFonts w:ascii="宋体" w:eastAsia="方正仿宋_GBK" w:hAnsi="宋体" w:cs="方正仿宋_GBK" w:hint="eastAsia"/>
          <w:b/>
          <w:bCs/>
          <w:kern w:val="0"/>
          <w:sz w:val="32"/>
          <w:szCs w:val="32"/>
          <w:lang/>
        </w:rPr>
        <w:t>姚冠扬，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柳沈律师事务所合伙人、专利代理人、律师，天津大学工程学士，理学硕士，美国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John Marshal Law School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法学硕士，先后荣获司法部“千名涉外律师人才库”，钱伯斯（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Chambers and Partners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）知识产权诉讼上榜律师（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2020-2023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），国家海外知识产权纠纷应对指导专家，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2023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年“中国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50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位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50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岁以下知识产权精英律师”，</w:t>
      </w:r>
      <w:proofErr w:type="gramStart"/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知产力</w:t>
      </w:r>
      <w:proofErr w:type="gramEnd"/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评选“中国优秀知识产权律师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Top 50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”（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2019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、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2020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、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2021</w:t>
      </w:r>
      <w:r>
        <w:rPr>
          <w:rFonts w:ascii="宋体" w:eastAsia="方正仿宋_GBK" w:hAnsi="宋体" w:cs="方正仿宋_GBK" w:hint="eastAsia"/>
          <w:kern w:val="0"/>
          <w:sz w:val="32"/>
          <w:szCs w:val="32"/>
          <w:lang/>
        </w:rPr>
        <w:t>）等，在知识产权许可、专利有效性分析、知识产权尽职调查、企业专利布局与战略咨询等方面具有丰富的实践经验，代理的多起案件被各级法院评选为年度知识产权典型案例。</w:t>
      </w:r>
    </w:p>
    <w:p w:rsidR="00084160" w:rsidRDefault="00084160" w:rsidP="00084160">
      <w:pPr>
        <w:spacing w:line="570" w:lineRule="exact"/>
        <w:ind w:firstLineChars="200" w:firstLine="640"/>
        <w:rPr>
          <w:rFonts w:ascii="宋体" w:eastAsia="方正仿宋_GBK" w:hAnsi="宋体" w:cs="方正仿宋_GBK"/>
          <w:kern w:val="0"/>
          <w:sz w:val="32"/>
          <w:szCs w:val="32"/>
          <w:lang/>
        </w:rPr>
      </w:pPr>
    </w:p>
    <w:p w:rsidR="00084160" w:rsidRDefault="00084160" w:rsidP="00084160">
      <w:pPr>
        <w:spacing w:line="570" w:lineRule="exact"/>
        <w:ind w:firstLineChars="200" w:firstLine="643"/>
        <w:rPr>
          <w:rFonts w:ascii="方正仿宋_GBK" w:eastAsia="方正仿宋_GBK" w:hAnsi="方正仿宋_GBK" w:cs="方正仿宋_GBK"/>
          <w:color w:val="191919"/>
          <w:sz w:val="28"/>
          <w:szCs w:val="28"/>
          <w:shd w:val="clear" w:color="auto" w:fill="FFFFFF"/>
        </w:rPr>
      </w:pPr>
      <w:r>
        <w:rPr>
          <w:rFonts w:ascii="宋体" w:eastAsia="方正仿宋_GBK" w:hAnsi="宋体" w:cs="方正仿宋_GBK" w:hint="eastAsia"/>
          <w:b/>
          <w:bCs/>
          <w:color w:val="191919"/>
          <w:sz w:val="32"/>
          <w:szCs w:val="32"/>
          <w:shd w:val="clear" w:color="auto" w:fill="FFFFFF"/>
        </w:rPr>
        <w:t>蒋海军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，江苏瑞途律师事务所主任，律师、专利代理师，美国华盛顿大学访问学者，工学学士、法学学士、理学硕士，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2018-2019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年度中国优秀知识产权律师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TOP50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，中国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50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位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50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岁以下知识产权精英律师，首批江苏省知识产权领军人才，江苏国际知识产权学院发展战略咨询委员会副主任委员，最高检民事行政咨询专家，南京市律师协会知识产权法律专业委员会主任，中华全国律师协会知识产权专业委员会委员，国家海外知识产权纠纷应对指导专家，国际商会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ICC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知识产权委员会成员，南京、苏</w:t>
      </w:r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lastRenderedPageBreak/>
        <w:t>州等多地知识产权专家咨询委员会委员等，在知识产权和科技法律领域从业二十余年，在企业知识产权风险防控和应对、涉外知识产权风险控制、纠纷应对等领域有着丰富的经验，有多件案例进入最高</w:t>
      </w:r>
      <w:proofErr w:type="gramStart"/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院典型</w:t>
      </w:r>
      <w:proofErr w:type="gramEnd"/>
      <w:r>
        <w:rPr>
          <w:rFonts w:ascii="宋体" w:eastAsia="方正仿宋_GBK" w:hAnsi="宋体" w:cs="方正仿宋_GBK" w:hint="eastAsia"/>
          <w:color w:val="191919"/>
          <w:sz w:val="32"/>
          <w:szCs w:val="32"/>
          <w:shd w:val="clear" w:color="auto" w:fill="FFFFFF"/>
        </w:rPr>
        <w:t>案例、十大案例、指导案例。</w:t>
      </w:r>
    </w:p>
    <w:p w:rsidR="003A2D67" w:rsidRPr="00084160" w:rsidRDefault="003A2D67"/>
    <w:sectPr w:rsidR="003A2D67" w:rsidRPr="00084160" w:rsidSect="00DC45A2"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160"/>
    <w:rsid w:val="00084160"/>
    <w:rsid w:val="00366CCE"/>
    <w:rsid w:val="003A2D67"/>
    <w:rsid w:val="0088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084160"/>
    <w:pPr>
      <w:ind w:leftChars="600" w:left="600"/>
    </w:pPr>
    <w:rPr>
      <w:rFonts w:cs="黑体"/>
      <w:szCs w:val="22"/>
    </w:rPr>
  </w:style>
  <w:style w:type="paragraph" w:styleId="a3">
    <w:name w:val="Normal (Web)"/>
    <w:basedOn w:val="a"/>
    <w:qFormat/>
    <w:rsid w:val="0008416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>Win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2024-03-07T04:15:00Z</dcterms:created>
  <dcterms:modified xsi:type="dcterms:W3CDTF">2024-03-07T04:15:00Z</dcterms:modified>
</cp:coreProperties>
</file>