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 w:cs="Times New Roman"/>
          <w:b/>
          <w:bCs/>
          <w:color w:val="auto"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:</w:t>
      </w:r>
    </w:p>
    <w:p>
      <w:pPr>
        <w:spacing w:line="480" w:lineRule="atLeast"/>
        <w:jc w:val="center"/>
        <w:rPr>
          <w:rFonts w:hint="default" w:ascii="Times New Roman" w:hAnsi="Times New Roman" w:eastAsia="宋体" w:cs="Times New Roman"/>
          <w:b/>
          <w:color w:val="auto"/>
          <w:kern w:val="44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44"/>
          <w:sz w:val="44"/>
          <w:szCs w:val="44"/>
        </w:rPr>
        <w:t>2023年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auto"/>
          <w:kern w:val="44"/>
          <w:sz w:val="44"/>
          <w:szCs w:val="44"/>
        </w:rPr>
        <w:t>度苏州市成果转化平台建设</w:t>
      </w:r>
    </w:p>
    <w:p>
      <w:pPr>
        <w:spacing w:line="480" w:lineRule="atLeast"/>
        <w:jc w:val="center"/>
        <w:rPr>
          <w:rFonts w:hint="default" w:ascii="Times New Roman" w:hAnsi="Times New Roman" w:eastAsia="宋体" w:cs="Times New Roman"/>
          <w:b/>
          <w:color w:val="auto"/>
          <w:kern w:val="44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44"/>
          <w:sz w:val="44"/>
          <w:szCs w:val="44"/>
        </w:rPr>
        <w:t>及部分创新载体项目拟立项名单</w:t>
      </w:r>
    </w:p>
    <w:tbl>
      <w:tblPr>
        <w:tblStyle w:val="3"/>
        <w:tblW w:w="89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707"/>
        <w:gridCol w:w="3293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一、概念验证中心建设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苏州市整车先进设计制造与测控技术概念验证中心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湖南大学苏州研究院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苏州市生物材料概念验证中心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牛津大学（苏州）科技有限公司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苏州市生物医药概念验证中心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苏州科技企业股权服务有限公司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苏州市类器官与器官芯片概念验证中心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东南大学苏州医疗器械研究院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</w:rPr>
              <w:t>中试工程化服务平台建设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苏州市先进材料及表征测试设备中试工程化服务平台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长三角先进材料研究院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苏州市光电技术中试工程化服务平台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苏州枫桥光电科技有限公司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苏州市先进金属材料中试工程化服务平台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江苏集萃先进金属材料研究所有限公司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苏州市仪器装备中试工程化服务平台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材料科学姑苏实验室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苏州市数字和智能中试工程化服务平台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苏州市医疗器械中试工程化服务平台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苏州国科医工科技发展（集团）有限公司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科技公共服务平台建设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苏州市声学科技公共服务平台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苏州声学产业技术研究院有限公司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苏州市分子工程科技公共服务平台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江苏集萃分子工程研究院有限公司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苏州市语言计算科技公共服务平台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思必驰科技股份有限公司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苏州市动物实验科技公共服务平台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苏州系统医学研究所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苏州市新能源汽车可靠性验证科技公共服务平台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苏州苏试广博环境可靠性实验室有限公司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苏州市高通量土壤及地下水污染防治科技公共服务平台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江苏光质检测科技有限公司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创新载体项目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国家生物药技术创新中心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苏州市生物医药产业创新中心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兑现政策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国家第三代半导体技术创新中心（苏州）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苏州第三代半导体技术国创中心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兑现政策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苏州市智能车联网重点实验室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</w:t>
            </w:r>
          </w:p>
        </w:tc>
      </w:tr>
    </w:tbl>
    <w:p>
      <w:pPr>
        <w:spacing w:line="480" w:lineRule="atLeast"/>
        <w:jc w:val="both"/>
        <w:rPr>
          <w:rFonts w:hint="default" w:ascii="Times New Roman" w:hAnsi="Times New Roman" w:eastAsia="宋体" w:cs="Times New Roman"/>
          <w:b/>
          <w:color w:val="auto"/>
          <w:kern w:val="44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1301" w:right="1417" w:bottom="12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214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2023-12-01T05:42:00Z</dcterms:created>
  <dc:creator>user</dc:creator>
  <cp:lastModifiedBy>　栗子</cp:lastModifiedBy>
  <dcterms:modified xsi:type="dcterms:W3CDTF">2023-12-01T05:42:18Z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1EFEC18F02EF4165A14AD7A724AF65EA_12</vt:lpwstr>
  </property>
</Properties>
</file>