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E6" w:rsidRPr="00BB27E6" w:rsidRDefault="00BB27E6" w:rsidP="00BB27E6">
      <w:pPr>
        <w:widowControl/>
        <w:spacing w:line="560" w:lineRule="atLeast"/>
        <w:rPr>
          <w:rFonts w:ascii="Times New Roman" w:eastAsia="宋体" w:hAnsi="Times New Roman" w:cs="Times New Roman"/>
          <w:color w:val="525252"/>
          <w:kern w:val="0"/>
          <w:szCs w:val="21"/>
        </w:rPr>
      </w:pPr>
      <w:r w:rsidRPr="00BB27E6">
        <w:rPr>
          <w:rFonts w:ascii="仿宋" w:eastAsia="仿宋" w:hAnsi="仿宋" w:cs="Times New Roman" w:hint="eastAsia"/>
          <w:b/>
          <w:bCs/>
          <w:color w:val="525252"/>
          <w:kern w:val="0"/>
          <w:sz w:val="28"/>
          <w:szCs w:val="28"/>
        </w:rPr>
        <w:t>附件：</w:t>
      </w:r>
    </w:p>
    <w:p w:rsidR="00BB27E6" w:rsidRPr="00BB27E6" w:rsidRDefault="00BB27E6" w:rsidP="00BB27E6">
      <w:pPr>
        <w:widowControl/>
        <w:spacing w:line="560" w:lineRule="atLeast"/>
        <w:jc w:val="center"/>
        <w:rPr>
          <w:rFonts w:ascii="Times New Roman" w:eastAsia="宋体" w:hAnsi="Times New Roman" w:cs="Times New Roman"/>
          <w:color w:val="525252"/>
          <w:kern w:val="0"/>
          <w:szCs w:val="21"/>
        </w:rPr>
      </w:pPr>
      <w:r w:rsidRPr="00BB27E6">
        <w:rPr>
          <w:rFonts w:ascii="仿宋" w:eastAsia="仿宋" w:hAnsi="仿宋" w:cs="Times New Roman" w:hint="eastAsia"/>
          <w:b/>
          <w:bCs/>
          <w:color w:val="525252"/>
          <w:kern w:val="0"/>
          <w:sz w:val="32"/>
          <w:szCs w:val="32"/>
        </w:rPr>
        <w:t>2023年度常熟市科技计划（基础研究计划-医学应用基础研究）项目拟立项指令性项目</w:t>
      </w:r>
    </w:p>
    <w:tbl>
      <w:tblPr>
        <w:tblW w:w="8712" w:type="dxa"/>
        <w:tblInd w:w="93" w:type="dxa"/>
        <w:tblCellMar>
          <w:left w:w="0" w:type="dxa"/>
          <w:right w:w="0" w:type="dxa"/>
        </w:tblCellMar>
        <w:tblLook w:val="04A0"/>
      </w:tblPr>
      <w:tblGrid>
        <w:gridCol w:w="749"/>
        <w:gridCol w:w="4513"/>
        <w:gridCol w:w="2318"/>
        <w:gridCol w:w="1132"/>
      </w:tblGrid>
      <w:tr w:rsidR="00BB27E6" w:rsidRPr="00BB27E6" w:rsidTr="00BB27E6">
        <w:trPr>
          <w:trHeight w:val="580"/>
        </w:trPr>
        <w:tc>
          <w:tcPr>
            <w:tcW w:w="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b/>
                <w:bCs/>
                <w:color w:val="000000"/>
                <w:kern w:val="0"/>
                <w:sz w:val="22"/>
              </w:rPr>
              <w:t>序号</w:t>
            </w:r>
          </w:p>
        </w:tc>
        <w:tc>
          <w:tcPr>
            <w:tcW w:w="4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b/>
                <w:bCs/>
                <w:color w:val="000000"/>
                <w:kern w:val="0"/>
                <w:sz w:val="22"/>
              </w:rPr>
              <w:t>项目名称</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b/>
                <w:bCs/>
                <w:color w:val="000000"/>
                <w:kern w:val="0"/>
                <w:sz w:val="22"/>
              </w:rPr>
              <w:t>单位名称</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b/>
                <w:bCs/>
                <w:color w:val="000000"/>
                <w:kern w:val="0"/>
                <w:sz w:val="22"/>
              </w:rPr>
              <w:t>负责人</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转录共激活因子CREB5在心衰中调控心肌纤维化机制研究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陶逸菁</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新预测模型在女童下丘脑-垂体-性腺功能筛查中的应用价值研究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孟柳明</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常熟地区胸痛情景式教育对提高胸痛中心模式下</w:t>
            </w:r>
            <w:r w:rsidRPr="00BB27E6">
              <w:rPr>
                <w:rFonts w:ascii="宋体" w:eastAsia="宋体" w:hAnsi="宋体" w:cs="宋体" w:hint="eastAsia"/>
                <w:color w:val="000000"/>
                <w:kern w:val="0"/>
                <w:sz w:val="22"/>
              </w:rPr>
              <w:t> </w:t>
            </w:r>
            <w:r w:rsidRPr="00BB27E6">
              <w:rPr>
                <w:rFonts w:ascii="仿宋" w:eastAsia="仿宋" w:hAnsi="仿宋" w:cs="仿宋" w:hint="eastAsia"/>
                <w:color w:val="000000"/>
                <w:kern w:val="0"/>
                <w:sz w:val="22"/>
              </w:rPr>
              <w:t>ACS</w:t>
            </w:r>
            <w:r w:rsidRPr="00BB27E6">
              <w:rPr>
                <w:rFonts w:ascii="仿宋" w:eastAsia="仿宋" w:hAnsi="仿宋" w:cs="Times New Roman" w:hint="eastAsia"/>
                <w:color w:val="000000"/>
                <w:kern w:val="0"/>
                <w:sz w:val="22"/>
              </w:rPr>
              <w:t>患者救治时效性及救治质量的研究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沈秋生</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4</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阿扎胞苷联合PD-1抑制剂治疗中高危老年MDS患者的临床研究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杨冠群</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5</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p38-MAPK通过下调AQP4介导肠易激综合征肠道敏感性及动力异常机制研究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奚美娟</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6</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基于UPLC-Q-Orbitrap-MS的桑枝总生物碱通过改善肠道菌群对2型糖尿病小鼠的治疗作用及机制研究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韩佳妮</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7</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双层探测器光谱CT在胃癌术前TNM分期的临床应用研究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马华纯</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8</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中医定向透药疗法联合聚乙二醇4000散对于治疗胸腰椎骨折患者功能性便秘的临床效果研究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常熟市支塘人民医院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谈心</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9</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口服益生菌制剂对直肠癌术后放化疗患者肠道菌群、T淋巴细胞亚群及预后影响的研究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曹薛弦</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10</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污水大数据助力学校传染病智慧防控应用示范</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常熟市疾病预防控制中心</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龚利强</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11</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超级增强子调控靶基因TMSB4X在T系急性淋巴细胞白血病中的作用机制及临床应用研究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陆美华</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12</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磁敏感不对称皮层静脉征及磁敏感血管征在急性脑卒中中的应用</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谈炎欢</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13</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益肾泻浊方治疗慢性肾衰竭肾虚浊瘀型患者疗效观察及对Th17/Treg平衡的影响</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顾雪菁</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14</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盆底MRI技术用于评估阴道前壁自体组织黏膜瓣重建术+骶主韧带复合体悬吊术对PDF的手术效果</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温佳宇</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15</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探析江一平针刺治聋哑经验</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吴思琪</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lastRenderedPageBreak/>
              <w:t>16</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FABP5在NAFLD发生发展中的作用及机制探究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胥健</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17</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慢阻肺高危人群早期筛查与基于多学科协作的分级综合干预效果评估</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常熟市疾病预防控制中心</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董晨章</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18</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VSIG4调节免疫微环境促进肾透明细胞癌转移机制的应用基础研究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付振宇</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19</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基于Sirt1介导的beclin-1自噬通路探讨脓毒症心肌损伤的机制研究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俞隼</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20</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减重代谢手术在代谢综合征治疗中的应用研究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胡琦</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21</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肠道炎症在创伤性脑损伤中的影响及机制研究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阳彩云</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22</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去阿片类全麻在骨科短小手术中的应用</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濮健峰</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23</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膝关节超声在膝骨关节炎患者中的辅助诊断价值以及与血清25-羟基-维生素</w:t>
            </w:r>
            <w:r w:rsidRPr="00BB27E6">
              <w:rPr>
                <w:rFonts w:ascii="宋体" w:eastAsia="宋体" w:hAnsi="宋体" w:cs="宋体" w:hint="eastAsia"/>
                <w:color w:val="000000"/>
                <w:kern w:val="0"/>
                <w:sz w:val="22"/>
              </w:rPr>
              <w:t> </w:t>
            </w:r>
            <w:r w:rsidRPr="00BB27E6">
              <w:rPr>
                <w:rFonts w:ascii="仿宋" w:eastAsia="仿宋" w:hAnsi="仿宋" w:cs="仿宋" w:hint="eastAsia"/>
                <w:color w:val="000000"/>
                <w:kern w:val="0"/>
                <w:sz w:val="22"/>
              </w:rPr>
              <w:t>D</w:t>
            </w:r>
            <w:r w:rsidRPr="00BB27E6">
              <w:rPr>
                <w:rFonts w:ascii="仿宋" w:eastAsia="仿宋" w:hAnsi="仿宋" w:cs="Times New Roman" w:hint="eastAsia"/>
                <w:color w:val="000000"/>
                <w:kern w:val="0"/>
                <w:sz w:val="22"/>
              </w:rPr>
              <w:t>水平的关系研究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常熟市第五人民医院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孙丽娜</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24</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布地奈德福莫特罗粉吸入剂联合定喘汤对支气管哮喘临床疗效的研究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常熟市古里中心卫生院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顾怡</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25</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NFκB2-PLK4-CDK2信号轴调控小胶质细胞功能促进脊髓损伤功能恢复的机制研究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顾赢楚</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26</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三阴性乳腺癌节拍化疗联合免疫治疗的临床研究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丁菱芷</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27</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Bcl2L12在结肠癌中的表达及其与病理参数和化疗疗效的关系研究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时新雅</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28</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细胞焦亡单细胞转录组中关键性miRNAs参与胃癌化疗耐药性的作用机制研究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常熟市医学检验所</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陈洁</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29</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Kpnβ1通过调控JAK/STAT3信号通路促进胰腺癌的发生发展</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常熟市第五人民医院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邵梦婷</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30</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METTL3依赖的m6A甲基化调控胃癌细胞5-氟尿嘧啶获得性耐药的机制研究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常熟市梅李人民医院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邵志栋</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31</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高产DHA破囊壶菌发酵提取油脂对HCT116、MGC803细胞增殖和凋亡影响</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钱健</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32</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黄连素调节GPX4干预非酒精性脂肪肝机制研究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钱玲玲</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33</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新型蛋白酶抑制剂萘莫司他对脓毒症患者大循环及微循环的影响</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郑峰</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34</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利用生物电阻抗技术探讨老年2型糖尿病患者中肌少症与远期血管事件的关系</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柯国秀</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35</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低功率钬激光逆行低张力尖部黏膜预离断“两叶法”前列腺剜除术治疗中小体积前列腺增生的临床应用研究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李琪</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lastRenderedPageBreak/>
              <w:t>36</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集体运动对阈下抑郁人群脑功能网络调节模式研究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李琴</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37</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氢质子磁共振波谱（1H-MRS）及瘤内磁敏感信号强度(ITSS)分级对颅内转移瘤放疗后的疗效评价</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常熟市第二人民医院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顾思毅</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38</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循环血NLRP3炎症小体相关炎症因子与房颤发作及射频消融术疗效的相关性研究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顾丽亚</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39</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基于自动化机器学习算法预测内镜切除胃间质瘤术后并发症的研究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常熟市第一人民医院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刘罗杰</w:t>
            </w:r>
          </w:p>
        </w:tc>
      </w:tr>
      <w:tr w:rsidR="00BB27E6" w:rsidRPr="00BB27E6" w:rsidTr="00BB27E6">
        <w:trPr>
          <w:trHeight w:val="580"/>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40</w:t>
            </w:r>
          </w:p>
        </w:tc>
        <w:tc>
          <w:tcPr>
            <w:tcW w:w="4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left"/>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“白芍-白术”经GPR35/NF-κB通路调控巨噬细胞极化治疗溃疡性结肠炎机制研究</w:t>
            </w:r>
          </w:p>
        </w:tc>
        <w:tc>
          <w:tcPr>
            <w:tcW w:w="2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常熟市中医院（新区医院）</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27E6" w:rsidRPr="00BB27E6" w:rsidRDefault="00BB27E6" w:rsidP="00BB27E6">
            <w:pPr>
              <w:widowControl/>
              <w:jc w:val="center"/>
              <w:textAlignment w:val="center"/>
              <w:rPr>
                <w:rFonts w:ascii="Times New Roman" w:eastAsia="宋体" w:hAnsi="Times New Roman" w:cs="Times New Roman"/>
                <w:color w:val="525252"/>
                <w:kern w:val="0"/>
                <w:szCs w:val="21"/>
              </w:rPr>
            </w:pPr>
            <w:r w:rsidRPr="00BB27E6">
              <w:rPr>
                <w:rFonts w:ascii="仿宋" w:eastAsia="仿宋" w:hAnsi="仿宋" w:cs="Times New Roman" w:hint="eastAsia"/>
                <w:color w:val="000000"/>
                <w:kern w:val="0"/>
                <w:sz w:val="22"/>
              </w:rPr>
              <w:t>黄华</w:t>
            </w:r>
          </w:p>
        </w:tc>
      </w:tr>
    </w:tbl>
    <w:p w:rsidR="00FF1C3D" w:rsidRDefault="00FF1C3D"/>
    <w:sectPr w:rsidR="00FF1C3D" w:rsidSect="00FF1C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7E6"/>
    <w:rsid w:val="00BB27E6"/>
    <w:rsid w:val="00FF1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7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08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2023-10-25T14:43:00Z</dcterms:created>
  <dcterms:modified xsi:type="dcterms:W3CDTF">2023-10-25T14:43:00Z</dcterms:modified>
</cp:coreProperties>
</file>