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9"/>
        <w:shd w:val="clear" w:color="auto" w:fill="FFFFFF"/>
        <w:spacing w:before="0" w:beforeAutospacing="0" w:after="0" w:afterAutospacing="0" w:line="480" w:lineRule="atLeast"/>
        <w:jc w:val="both"/>
        <w:rPr>
          <w:rFonts w:ascii="方正黑体_GBK" w:eastAsia="方正黑体_GBK" w:cs="方正黑体_GBK" w:hint="eastAsia"/>
          <w:color w:val="000000"/>
          <w:sz w:val="32"/>
          <w:szCs w:val="32"/>
          <w:lang w:val="en-US" w:eastAsia="zh-CN"/>
        </w:rPr>
      </w:pPr>
      <w:r>
        <w:rPr>
          <w:rFonts w:ascii="方正黑体_GBK" w:eastAsia="方正黑体_GBK" w:cs="方正黑体_GBK" w:hint="eastAsia"/>
          <w:color w:val="000000"/>
          <w:sz w:val="32"/>
          <w:szCs w:val="32"/>
          <w:lang w:val="en-US" w:eastAsia="zh-CN"/>
        </w:rPr>
        <w:t>附件：</w:t>
      </w:r>
    </w:p>
    <w:p>
      <w:pPr>
        <w:pStyle w:val="19"/>
        <w:shd w:val="clear" w:color="auto" w:fill="FFFFFF"/>
        <w:spacing w:before="0" w:beforeAutospacing="0" w:after="0" w:afterAutospacing="0" w:line="480" w:lineRule="atLeast"/>
        <w:jc w:val="center"/>
        <w:rPr>
          <w:rFonts w:ascii="方正小标宋_GBK" w:eastAsia="方正小标宋_GBK" w:cs="方正小标宋_GBK" w:hint="eastAsia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江苏省DCMM贯标实践优秀案例名单</w:t>
      </w:r>
    </w:p>
    <w:tbl>
      <w:tblPr>
        <w:jc w:val="left"/>
        <w:tblInd w:w="0" w:type="dxa"/>
        <w:tblW w:w="10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729"/>
        <w:gridCol w:w="4875"/>
      </w:tblGrid>
      <w:tr>
        <w:trPr>
          <w:trHeight w:val="61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 w:cs="方正黑体_GBK" w:hint="eastAsia"/>
                <w:kern w:val="0"/>
                <w:sz w:val="28"/>
                <w:szCs w:val="28"/>
              </w:rPr>
            </w:pPr>
            <w:bookmarkEnd w:id="0"/>
            <w:r>
              <w:rPr>
                <w:rFonts w:ascii="方正黑体_GBK" w:eastAsia="方正黑体_GBK" w:cs="方正黑体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 w:cs="方正黑体_GBK" w:hint="eastAsia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kern w:val="0"/>
                <w:sz w:val="28"/>
                <w:szCs w:val="28"/>
              </w:rPr>
              <w:t>案例名称</w:t>
            </w:r>
          </w:p>
        </w:tc>
      </w:tr>
      <w:tr>
        <w:trPr>
          <w:trHeight w:val="1035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南京钢铁股份有限公司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全要素全场景全价值链的钢铁数据管理体系构建</w:t>
            </w:r>
          </w:p>
        </w:tc>
      </w:tr>
      <w:tr>
        <w:trPr>
          <w:trHeight w:val="102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西交利物浦大学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西交利物浦大学教育数字化探索</w:t>
            </w:r>
          </w:p>
        </w:tc>
      </w:tr>
      <w:tr>
        <w:trPr>
          <w:trHeight w:val="889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江苏永钢集团有限公司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DCMM助力永钢数字化转型发展</w:t>
            </w:r>
          </w:p>
        </w:tc>
      </w:tr>
      <w:tr>
        <w:trPr>
          <w:trHeight w:val="1154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江苏核电有限公司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以提升数据管理成熟度为目标的数据治理实践</w:t>
            </w:r>
          </w:p>
        </w:tc>
      </w:tr>
      <w:tr>
        <w:trPr>
          <w:trHeight w:val="856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企查查科技有限公司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企查查一站式大数据治理</w:t>
            </w:r>
          </w:p>
        </w:tc>
      </w:tr>
      <w:tr>
        <w:trPr>
          <w:trHeight w:val="1154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江苏省联合征信有限公司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数据治理助力全省普惠金融高质量发展</w:t>
            </w:r>
          </w:p>
        </w:tc>
      </w:tr>
      <w:tr>
        <w:trPr>
          <w:trHeight w:val="1329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江苏省人民医院（南京医科大学第一附属医院）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DCMM助力数字化医院建设</w:t>
            </w:r>
          </w:p>
        </w:tc>
      </w:tr>
      <w:tr>
        <w:trPr>
          <w:trHeight w:val="1154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南京东华智能转向系统有限公司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工业数据治理助力汽车零部件企业卓越运营</w:t>
            </w:r>
          </w:p>
        </w:tc>
      </w:tr>
      <w:tr>
        <w:trPr>
          <w:trHeight w:val="1154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金龙联合汽车工业（苏州）有限公司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暴风眼数据知产管理及应用平台</w:t>
            </w:r>
          </w:p>
        </w:tc>
      </w:tr>
      <w:tr>
        <w:trPr>
          <w:trHeight w:val="1154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朗新科技集团股份有限公司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朗新数据中台产品助力客户数据管理建设及应用能力提升</w:t>
            </w:r>
          </w:p>
        </w:tc>
      </w:tr>
      <w:tr>
        <w:trPr>
          <w:trHeight w:val="115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南京华盾电力信息安全测评有限公司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电力数据资产管理规划助力集团企业数字化转型</w:t>
            </w:r>
          </w:p>
        </w:tc>
      </w:tr>
      <w:tr>
        <w:trPr>
          <w:trHeight w:val="8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远东控股集团有限公司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远东大数据应用平台实践</w:t>
            </w:r>
          </w:p>
        </w:tc>
      </w:tr>
      <w:tr>
        <w:trPr>
          <w:trHeight w:val="115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江苏达科信息科技有限公司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政务大数据一站式管理平台</w:t>
            </w:r>
          </w:p>
        </w:tc>
      </w:tr>
      <w:tr>
        <w:trPr>
          <w:trHeight w:val="105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国泰新点软件股份有限公司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政务大数据管理能力建设</w:t>
            </w:r>
          </w:p>
        </w:tc>
      </w:tr>
      <w:tr>
        <w:trPr>
          <w:trHeight w:val="116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江苏臻云技术有限公司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</w:rPr>
              <w:t>面向制造业的业财一体化大数据融合应用平台</w:t>
            </w:r>
          </w:p>
        </w:tc>
      </w:tr>
    </w:tbl>
    <w:p>
      <w:pPr>
        <w:rPr>
          <w:rFonts w:ascii="Times New Roman" w:eastAsia="方正仿宋_GBK" w:cs="Times New Roman" w:hAnsi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ODIzYjQ0NWI0MmNiMDgyMGFmY2FiMzhmZDFhNzViOD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sz w:val="24"/>
    </w:r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20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14</Words>
  <Characters>17</Characters>
  <Lines>1</Lines>
  <Paragraphs>1</Paragraphs>
  <CharactersWithSpaces>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uos</cp:lastModifiedBy>
  <cp:revision>3</cp:revision>
  <cp:lastPrinted>2020-12-04T02:14:00Z</cp:lastPrinted>
  <dcterms:created xsi:type="dcterms:W3CDTF">2022-07-29T02:57:00Z</dcterms:created>
  <dcterms:modified xsi:type="dcterms:W3CDTF">2023-04-10T02:41:13Z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3A96939750C949C9A5DD90E60B6ED418</vt:lpwstr>
  </property>
</Properties>
</file>