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Calibri" w:eastAsia="方正小标宋_GBK" w:cs="黑体"/>
          <w:sz w:val="44"/>
          <w:szCs w:val="44"/>
        </w:rPr>
      </w:pPr>
    </w:p>
    <w:p>
      <w:pPr>
        <w:spacing w:line="640" w:lineRule="exact"/>
        <w:jc w:val="center"/>
        <w:rPr>
          <w:rFonts w:ascii="方正小标宋_GBK" w:hAnsi="Calibri" w:eastAsia="方正小标宋_GBK" w:cs="黑体"/>
          <w:sz w:val="44"/>
          <w:szCs w:val="44"/>
        </w:rPr>
      </w:pPr>
      <w:r>
        <w:rPr>
          <w:rFonts w:hint="eastAsia" w:ascii="方正小标宋_GBK" w:hAnsi="Calibri" w:eastAsia="方正小标宋_GBK" w:cs="黑体"/>
          <w:sz w:val="44"/>
          <w:szCs w:val="44"/>
        </w:rPr>
        <w:t>2022年江苏省车联网和智能网联汽车网络和数据安全技术验证机构培育名单公示</w:t>
      </w:r>
    </w:p>
    <w:p>
      <w:pPr>
        <w:spacing w:line="640" w:lineRule="exact"/>
        <w:jc w:val="center"/>
        <w:rPr>
          <w:rFonts w:ascii="方正小标宋_GBK" w:hAnsi="Calibri" w:eastAsia="方正小标宋_GBK" w:cs="黑体"/>
          <w:sz w:val="44"/>
          <w:szCs w:val="44"/>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为</w:t>
      </w:r>
      <w:r>
        <w:rPr>
          <w:rFonts w:hint="eastAsia" w:ascii="Times New Roman" w:hAnsi="Times New Roman" w:eastAsia="方正仿宋_GBK" w:cs="Times New Roman"/>
          <w:color w:val="000000" w:themeColor="text1"/>
          <w:sz w:val="32"/>
          <w:szCs w:val="32"/>
          <w14:textFill>
            <w14:solidFill>
              <w14:schemeClr w14:val="tx1"/>
            </w14:solidFill>
          </w14:textFill>
        </w:rPr>
        <w:t>贯彻落实</w:t>
      </w:r>
      <w:r>
        <w:rPr>
          <w:rFonts w:ascii="Times New Roman" w:hAnsi="Times New Roman" w:eastAsia="方正仿宋_GBK" w:cs="Times New Roman"/>
          <w:color w:val="000000" w:themeColor="text1"/>
          <w:sz w:val="32"/>
          <w:szCs w:val="32"/>
          <w14:textFill>
            <w14:solidFill>
              <w14:schemeClr w14:val="tx1"/>
            </w14:solidFill>
          </w14:textFill>
        </w:rPr>
        <w:t>国家有关汽车数据安全法律法规要求，</w:t>
      </w:r>
      <w:r>
        <w:rPr>
          <w:rFonts w:hint="eastAsia" w:ascii="Times New Roman" w:hAnsi="Times New Roman" w:eastAsia="方正仿宋_GBK" w:cs="Times New Roman"/>
          <w:color w:val="000000" w:themeColor="text1"/>
          <w:sz w:val="32"/>
          <w:szCs w:val="32"/>
          <w14:textFill>
            <w14:solidFill>
              <w14:schemeClr w14:val="tx1"/>
            </w14:solidFill>
          </w14:textFill>
        </w:rPr>
        <w:t>加快推进车联网网络安全保障能力建设和相关</w:t>
      </w:r>
      <w:r>
        <w:rPr>
          <w:rFonts w:ascii="Times New Roman" w:hAnsi="Times New Roman" w:eastAsia="方正仿宋_GBK" w:cs="Times New Roman"/>
          <w:color w:val="000000" w:themeColor="text1"/>
          <w:sz w:val="32"/>
          <w:szCs w:val="32"/>
          <w14:textFill>
            <w14:solidFill>
              <w14:schemeClr w14:val="tx1"/>
            </w14:solidFill>
          </w14:textFill>
        </w:rPr>
        <w:t>安全检测评估</w:t>
      </w:r>
      <w:r>
        <w:rPr>
          <w:rFonts w:hint="eastAsia" w:ascii="Times New Roman" w:hAnsi="Times New Roman" w:eastAsia="方正仿宋_GBK" w:cs="Times New Roman"/>
          <w:color w:val="000000" w:themeColor="text1"/>
          <w:sz w:val="32"/>
          <w:szCs w:val="32"/>
          <w14:textFill>
            <w14:solidFill>
              <w14:schemeClr w14:val="tx1"/>
            </w14:solidFill>
          </w14:textFill>
        </w:rPr>
        <w:t>工作，根据《关于培育江苏省车联网和智能网联汽车网络和数据安全技术验证机构的通知》</w:t>
      </w:r>
      <w:r>
        <w:rPr>
          <w:rFonts w:ascii="Times New Roman" w:hAnsi="Times New Roman" w:eastAsia="方正仿宋_GBK" w:cs="Times New Roman"/>
          <w:sz w:val="32"/>
          <w:szCs w:val="32"/>
        </w:rPr>
        <w:t>（苏工信信发〔202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659</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省工信厅、</w:t>
      </w:r>
      <w:r>
        <w:rPr>
          <w:rFonts w:ascii="Times New Roman" w:hAnsi="Times New Roman" w:eastAsia="方正仿宋_GBK" w:cs="Times New Roman"/>
          <w:color w:val="000000" w:themeColor="text1"/>
          <w:sz w:val="32"/>
          <w:szCs w:val="32"/>
          <w14:textFill>
            <w14:solidFill>
              <w14:schemeClr w14:val="tx1"/>
            </w14:solidFill>
          </w14:textFill>
        </w:rPr>
        <w:t>省</w:t>
      </w:r>
      <w:r>
        <w:rPr>
          <w:rFonts w:hint="eastAsia" w:ascii="Times New Roman" w:hAnsi="Times New Roman" w:eastAsia="方正仿宋_GBK" w:cs="Times New Roman"/>
          <w:color w:val="000000" w:themeColor="text1"/>
          <w:sz w:val="32"/>
          <w:szCs w:val="32"/>
          <w14:textFill>
            <w14:solidFill>
              <w14:schemeClr w14:val="tx1"/>
            </w14:solidFill>
          </w14:textFill>
        </w:rPr>
        <w:t>委网信办</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省公安厅、省交通运输厅、省通信管理局共同开展了2022年</w:t>
      </w:r>
      <w:r>
        <w:rPr>
          <w:rFonts w:ascii="Times New Roman" w:hAnsi="Times New Roman" w:eastAsia="方正仿宋_GBK" w:cs="Times New Roman"/>
          <w:color w:val="000000" w:themeColor="text1"/>
          <w:sz w:val="32"/>
          <w:szCs w:val="32"/>
          <w14:textFill>
            <w14:solidFill>
              <w14:schemeClr w14:val="tx1"/>
            </w14:solidFill>
          </w14:textFill>
        </w:rPr>
        <w:t>江苏省</w:t>
      </w:r>
      <w:r>
        <w:rPr>
          <w:rFonts w:hint="eastAsia" w:ascii="Times New Roman" w:hAnsi="Times New Roman" w:eastAsia="方正仿宋_GBK" w:cs="Times New Roman"/>
          <w:color w:val="000000" w:themeColor="text1"/>
          <w:sz w:val="32"/>
          <w:szCs w:val="32"/>
          <w14:textFill>
            <w14:solidFill>
              <w14:schemeClr w14:val="tx1"/>
            </w14:solidFill>
          </w14:textFill>
        </w:rPr>
        <w:t>车联网和</w:t>
      </w:r>
      <w:r>
        <w:rPr>
          <w:rFonts w:ascii="Times New Roman" w:hAnsi="Times New Roman" w:eastAsia="方正仿宋_GBK" w:cs="Times New Roman"/>
          <w:color w:val="000000" w:themeColor="text1"/>
          <w:sz w:val="32"/>
          <w:szCs w:val="32"/>
          <w14:textFill>
            <w14:solidFill>
              <w14:schemeClr w14:val="tx1"/>
            </w14:solidFill>
          </w14:textFill>
        </w:rPr>
        <w:t>智能网联汽车</w:t>
      </w:r>
      <w:r>
        <w:rPr>
          <w:rFonts w:hint="eastAsia" w:ascii="Times New Roman" w:hAnsi="Times New Roman" w:eastAsia="方正仿宋_GBK" w:cs="Times New Roman"/>
          <w:color w:val="000000" w:themeColor="text1"/>
          <w:sz w:val="32"/>
          <w:szCs w:val="32"/>
          <w14:textFill>
            <w14:solidFill>
              <w14:schemeClr w14:val="tx1"/>
            </w14:solidFill>
          </w14:textFill>
        </w:rPr>
        <w:t>网络和</w:t>
      </w:r>
      <w:r>
        <w:rPr>
          <w:rFonts w:ascii="Times New Roman" w:hAnsi="Times New Roman" w:eastAsia="方正仿宋_GBK" w:cs="Times New Roman"/>
          <w:color w:val="000000" w:themeColor="text1"/>
          <w:sz w:val="32"/>
          <w:szCs w:val="32"/>
          <w14:textFill>
            <w14:solidFill>
              <w14:schemeClr w14:val="tx1"/>
            </w14:solidFill>
          </w14:textFill>
        </w:rPr>
        <w:t>数据安全</w:t>
      </w:r>
      <w:r>
        <w:rPr>
          <w:rFonts w:hint="eastAsia" w:ascii="Times New Roman" w:hAnsi="Times New Roman" w:eastAsia="方正仿宋_GBK" w:cs="Times New Roman"/>
          <w:color w:val="000000" w:themeColor="text1"/>
          <w:sz w:val="32"/>
          <w:szCs w:val="32"/>
          <w14:textFill>
            <w14:solidFill>
              <w14:schemeClr w14:val="tx1"/>
            </w14:solidFill>
          </w14:textFill>
        </w:rPr>
        <w:t>技术验证机构培育工作。</w:t>
      </w:r>
      <w:r>
        <w:rPr>
          <w:rFonts w:ascii="Times New Roman" w:hAnsi="Times New Roman" w:eastAsia="方正仿宋_GBK" w:cs="Times New Roman"/>
          <w:sz w:val="32"/>
          <w:szCs w:val="32"/>
        </w:rPr>
        <w:t>经过机构申报、地方推荐、形式审查、信用审查</w:t>
      </w:r>
      <w:r>
        <w:rPr>
          <w:rFonts w:hint="eastAsia" w:ascii="Times New Roman" w:hAnsi="Times New Roman" w:eastAsia="方正仿宋_GBK" w:cs="Times New Roman"/>
          <w:sz w:val="32"/>
          <w:szCs w:val="32"/>
        </w:rPr>
        <w:t>、专家评审</w:t>
      </w:r>
      <w:r>
        <w:rPr>
          <w:rFonts w:ascii="Times New Roman" w:hAnsi="Times New Roman" w:eastAsia="方正仿宋_GBK" w:cs="Times New Roman"/>
          <w:sz w:val="32"/>
          <w:szCs w:val="32"/>
        </w:rPr>
        <w:t>等环节，现将结果进行公示，请社会各界监督。公示期为2022年1</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日至2022年1</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5日。公示期内如有异议，请及时与省工信厅联系，联系电话：025-69652659（业务咨询）、69652843（信访举报）。</w:t>
      </w:r>
    </w:p>
    <w:p>
      <w:pPr>
        <w:snapToGrid w:val="0"/>
        <w:spacing w:line="560" w:lineRule="exact"/>
        <w:rPr>
          <w:rFonts w:ascii="Times New Roman" w:hAnsi="Times New Roman" w:eastAsia="方正仿宋_GBK" w:cs="Times New Roman"/>
          <w:sz w:val="32"/>
          <w:szCs w:val="32"/>
        </w:rPr>
      </w:pPr>
    </w:p>
    <w:p>
      <w:pPr>
        <w:snapToGrid w:val="0"/>
        <w:spacing w:line="560" w:lineRule="exact"/>
        <w:ind w:left="1598" w:leftChars="304" w:hanging="960" w:hangingChars="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附件：2022年江苏省车联网和智能网联汽车网络和数据安全技术验证机构培育名单</w:t>
      </w: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江苏省工业和信息化厅</w:t>
      </w:r>
    </w:p>
    <w:p>
      <w:pPr>
        <w:snapToGrid w:val="0"/>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年12月9日</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rPr>
          <w:rFonts w:ascii="Times New Roman" w:hAnsi="Times New Roman" w:eastAsia="方正仿宋_GBK" w:cs="Times New Roman"/>
          <w:color w:val="000000"/>
          <w:kern w:val="36"/>
          <w:sz w:val="32"/>
          <w:szCs w:val="32"/>
        </w:rPr>
      </w:pPr>
      <w:r>
        <w:rPr>
          <w:rFonts w:hint="eastAsia" w:ascii="Times New Roman" w:hAnsi="Times New Roman" w:eastAsia="方正仿宋_GBK" w:cs="Times New Roman"/>
          <w:color w:val="000000"/>
          <w:kern w:val="36"/>
          <w:sz w:val="32"/>
          <w:szCs w:val="32"/>
        </w:rPr>
        <w:t>附件</w:t>
      </w:r>
    </w:p>
    <w:p/>
    <w:p>
      <w:pPr>
        <w:snapToGrid w:val="0"/>
        <w:spacing w:line="560" w:lineRule="exact"/>
        <w:ind w:left="-1"/>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江苏省车联网和智能网联汽车络和数据安全</w:t>
      </w:r>
    </w:p>
    <w:p>
      <w:pPr>
        <w:snapToGrid w:val="0"/>
        <w:spacing w:line="560" w:lineRule="exact"/>
        <w:ind w:left="-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技术验证机构培育名单</w:t>
      </w:r>
      <w:bookmarkEnd w:id="0"/>
    </w:p>
    <w:p>
      <w:pPr>
        <w:snapToGrid w:val="0"/>
        <w:spacing w:line="560" w:lineRule="exact"/>
        <w:ind w:firstLine="640" w:firstLineChars="200"/>
        <w:rPr>
          <w:rFonts w:ascii="Times New Roman" w:hAnsi="Times New Roman" w:eastAsia="方正仿宋_GBK" w:cs="Times New Roman"/>
          <w:sz w:val="32"/>
          <w:szCs w:val="32"/>
        </w:rPr>
      </w:pP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江苏省电子信息产品质量监督检验研究院(江苏省信息安全测评中心)</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江苏省</w:t>
      </w:r>
      <w:r>
        <w:rPr>
          <w:rFonts w:ascii="Times New Roman" w:hAnsi="Times New Roman" w:eastAsia="方正仿宋_GBK" w:cs="Times New Roman"/>
          <w:sz w:val="32"/>
          <w:szCs w:val="32"/>
        </w:rPr>
        <w:t>紫金通信网络安全工程研究中心</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江苏网联智能汽车数据安全研究院有限公司</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华设检测科技有限公司</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江苏金盾检测技术股份有限公司</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DQzYjcwYjllZWEwYzA0YmMyZmVhNjQwNmY1ODYifQ=="/>
  </w:docVars>
  <w:rsids>
    <w:rsidRoot w:val="00FE5C7E"/>
    <w:rsid w:val="000F04B7"/>
    <w:rsid w:val="001C310E"/>
    <w:rsid w:val="00391493"/>
    <w:rsid w:val="004F4DE8"/>
    <w:rsid w:val="005678D4"/>
    <w:rsid w:val="007B7445"/>
    <w:rsid w:val="00837B90"/>
    <w:rsid w:val="00A45E40"/>
    <w:rsid w:val="00B83C42"/>
    <w:rsid w:val="00BC53E5"/>
    <w:rsid w:val="00C16C5C"/>
    <w:rsid w:val="00C24907"/>
    <w:rsid w:val="00ED59DE"/>
    <w:rsid w:val="00EF5BA2"/>
    <w:rsid w:val="00FE5C7E"/>
    <w:rsid w:val="03B21C14"/>
    <w:rsid w:val="04022482"/>
    <w:rsid w:val="0706244A"/>
    <w:rsid w:val="07610E7C"/>
    <w:rsid w:val="09D3761F"/>
    <w:rsid w:val="0A4800D1"/>
    <w:rsid w:val="0CA77331"/>
    <w:rsid w:val="0EE47722"/>
    <w:rsid w:val="123478B9"/>
    <w:rsid w:val="15505DBF"/>
    <w:rsid w:val="16A967B5"/>
    <w:rsid w:val="174B2FAF"/>
    <w:rsid w:val="1A78055F"/>
    <w:rsid w:val="1D18482D"/>
    <w:rsid w:val="1F321E3B"/>
    <w:rsid w:val="1F3A6CDD"/>
    <w:rsid w:val="21300397"/>
    <w:rsid w:val="2423557F"/>
    <w:rsid w:val="286B525F"/>
    <w:rsid w:val="28F434A6"/>
    <w:rsid w:val="295B52D4"/>
    <w:rsid w:val="2A212F73"/>
    <w:rsid w:val="2D630BFB"/>
    <w:rsid w:val="2EA17C2D"/>
    <w:rsid w:val="3756532C"/>
    <w:rsid w:val="37957143"/>
    <w:rsid w:val="38E0224B"/>
    <w:rsid w:val="39644C2A"/>
    <w:rsid w:val="39F96B6F"/>
    <w:rsid w:val="3B332B06"/>
    <w:rsid w:val="3D001FC2"/>
    <w:rsid w:val="3D08531B"/>
    <w:rsid w:val="3D8C7CFA"/>
    <w:rsid w:val="42557806"/>
    <w:rsid w:val="44727C49"/>
    <w:rsid w:val="462C3E28"/>
    <w:rsid w:val="481760A7"/>
    <w:rsid w:val="49E96391"/>
    <w:rsid w:val="4FF3065E"/>
    <w:rsid w:val="50245B70"/>
    <w:rsid w:val="5463261C"/>
    <w:rsid w:val="562B5EAA"/>
    <w:rsid w:val="5A81078E"/>
    <w:rsid w:val="5D064F7B"/>
    <w:rsid w:val="604765F5"/>
    <w:rsid w:val="61F555BE"/>
    <w:rsid w:val="623174F0"/>
    <w:rsid w:val="62636776"/>
    <w:rsid w:val="63316ACA"/>
    <w:rsid w:val="63E40592"/>
    <w:rsid w:val="646F1658"/>
    <w:rsid w:val="69D955D5"/>
    <w:rsid w:val="69FA5E67"/>
    <w:rsid w:val="6B202B98"/>
    <w:rsid w:val="6B995EB6"/>
    <w:rsid w:val="6BD5713E"/>
    <w:rsid w:val="72E26963"/>
    <w:rsid w:val="744A1799"/>
    <w:rsid w:val="77DE2925"/>
    <w:rsid w:val="7831514A"/>
    <w:rsid w:val="7AA95203"/>
    <w:rsid w:val="7E2875A1"/>
    <w:rsid w:val="7F5B5754"/>
    <w:rsid w:val="D777B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bCs/>
      <w:kern w:val="44"/>
      <w:sz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4"/>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character" w:styleId="17">
    <w:name w:val="HTML Code"/>
    <w:basedOn w:val="13"/>
    <w:qFormat/>
    <w:uiPriority w:val="0"/>
    <w:rPr>
      <w:rFonts w:ascii="Courier New" w:hAnsi="Courier New"/>
      <w:sz w:val="20"/>
    </w:rPr>
  </w:style>
  <w:style w:type="character" w:customStyle="1" w:styleId="18">
    <w:name w:val="qsbn"/>
    <w:basedOn w:val="13"/>
    <w:qFormat/>
    <w:uiPriority w:val="0"/>
  </w:style>
  <w:style w:type="character" w:customStyle="1" w:styleId="19">
    <w:name w:val="chnl"/>
    <w:basedOn w:val="13"/>
    <w:qFormat/>
    <w:uiPriority w:val="0"/>
    <w:rPr>
      <w:b/>
      <w:bCs/>
      <w:color w:val="FFFFFF"/>
      <w:sz w:val="42"/>
      <w:szCs w:val="42"/>
    </w:rPr>
  </w:style>
  <w:style w:type="character" w:customStyle="1" w:styleId="20">
    <w:name w:val="path"/>
    <w:basedOn w:val="13"/>
    <w:qFormat/>
    <w:uiPriority w:val="0"/>
    <w:rPr>
      <w:color w:val="011730"/>
      <w:sz w:val="21"/>
      <w:szCs w:val="21"/>
    </w:rPr>
  </w:style>
  <w:style w:type="paragraph" w:customStyle="1" w:styleId="21">
    <w:name w:val="0"/>
    <w:qFormat/>
    <w:uiPriority w:val="0"/>
    <w:pPr>
      <w:snapToGrid w:val="0"/>
    </w:pPr>
    <w:rPr>
      <w:rFonts w:ascii="Times New Roman" w:hAnsi="Times New Roman" w:eastAsia="仿宋_GB2312" w:cs="Times New Roman"/>
      <w:sz w:val="32"/>
      <w:szCs w:val="21"/>
      <w:lang w:val="en-US" w:eastAsia="zh-CN" w:bidi="ar-SA"/>
    </w:rPr>
  </w:style>
  <w:style w:type="character" w:customStyle="1" w:styleId="22">
    <w:name w:val="页眉 Char"/>
    <w:basedOn w:val="13"/>
    <w:link w:val="10"/>
    <w:qFormat/>
    <w:uiPriority w:val="0"/>
    <w:rPr>
      <w:rFonts w:asciiTheme="minorHAnsi" w:hAnsiTheme="minorHAnsi" w:eastAsiaTheme="minorEastAsia" w:cstheme="minorBidi"/>
      <w:kern w:val="2"/>
      <w:sz w:val="18"/>
      <w:szCs w:val="18"/>
    </w:rPr>
  </w:style>
  <w:style w:type="character" w:customStyle="1" w:styleId="23">
    <w:name w:val="页脚 Char"/>
    <w:basedOn w:val="13"/>
    <w:link w:val="9"/>
    <w:qFormat/>
    <w:uiPriority w:val="0"/>
    <w:rPr>
      <w:rFonts w:asciiTheme="minorHAnsi" w:hAnsiTheme="minorHAnsi" w:eastAsiaTheme="minorEastAsia" w:cstheme="minorBidi"/>
      <w:kern w:val="2"/>
      <w:sz w:val="18"/>
      <w:szCs w:val="18"/>
    </w:rPr>
  </w:style>
  <w:style w:type="character" w:customStyle="1" w:styleId="24">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508</Characters>
  <Lines>4</Lines>
  <Paragraphs>1</Paragraphs>
  <TotalTime>6</TotalTime>
  <ScaleCrop>false</ScaleCrop>
  <LinksUpToDate>false</LinksUpToDate>
  <CharactersWithSpaces>596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2022-10-13T11:39:00Z</dcterms:created>
  <dc:creator>Administrator</dc:creator>
  <cp:lastModifiedBy>uos</cp:lastModifiedBy>
  <cp:lastPrinted>2022-12-09T16:32:00Z</cp:lastPrinted>
  <dcterms:modified xsi:type="dcterms:W3CDTF">2022-12-09T17:19:50Z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5E507D1194254BCD880D417B446A2BC1</vt:lpwstr>
  </property>
</Properties>
</file>