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firstLine="0" w:firstLineChars="0"/>
        <w:rPr>
          <w:rFonts w:hint="eastAsia" w:ascii="Arial" w:hAnsi="Arial" w:eastAsia="宋体" w:cs="Times New Roman"/>
          <w:szCs w:val="24"/>
        </w:rPr>
      </w:pPr>
    </w:p>
    <w:p>
      <w:pPr>
        <w:spacing w:line="360" w:lineRule="auto"/>
        <w:ind w:left="420" w:firstLine="0" w:firstLineChars="0"/>
        <w:rPr>
          <w:rFonts w:hint="eastAsia" w:ascii="Arial" w:hAnsi="Arial" w:eastAsia="宋体" w:cs="Times New Roman"/>
          <w:szCs w:val="24"/>
        </w:rPr>
      </w:pPr>
    </w:p>
    <w:p>
      <w:pPr>
        <w:spacing w:line="360" w:lineRule="auto"/>
        <w:ind w:firstLine="0" w:firstLineChars="0"/>
        <w:rPr>
          <w:rFonts w:ascii="Arial" w:hAnsi="Arial" w:eastAsia="宋体" w:cs="Times New Roman"/>
          <w:b/>
          <w:color w:val="FF0000"/>
          <w:w w:val="80"/>
          <w:sz w:val="90"/>
          <w:szCs w:val="90"/>
        </w:rPr>
      </w:pPr>
      <w:r>
        <w:rPr>
          <w:rFonts w:hint="eastAsia" w:ascii="Arial" w:hAnsi="Arial" w:eastAsia="宋体" w:cs="Times New Roman"/>
          <w:b/>
          <w:color w:val="FF0000"/>
          <w:w w:val="80"/>
          <w:sz w:val="90"/>
          <w:szCs w:val="90"/>
        </w:rPr>
        <w:t>江苏</w:t>
      </w:r>
      <w:r>
        <w:rPr>
          <w:rFonts w:ascii="Arial" w:hAnsi="Arial" w:eastAsia="宋体" w:cs="Times New Roman"/>
          <w:b/>
          <w:color w:val="FF0000"/>
          <w:w w:val="80"/>
          <w:sz w:val="90"/>
          <w:szCs w:val="90"/>
        </w:rPr>
        <w:t>省工业和信息化厅文件</w:t>
      </w:r>
    </w:p>
    <w:p>
      <w:pPr>
        <w:spacing w:line="600" w:lineRule="exact"/>
        <w:ind w:firstLine="0" w:firstLineChars="0"/>
        <w:jc w:val="center"/>
        <w:rPr>
          <w:rFonts w:ascii="Times New Roman" w:hAnsi="Times New Roman" w:eastAsia="方正仿宋_GBK" w:cs="Times New Roman"/>
          <w:sz w:val="32"/>
          <w:szCs w:val="32"/>
        </w:rPr>
      </w:pPr>
    </w:p>
    <w:p>
      <w:pPr>
        <w:spacing w:line="600" w:lineRule="exact"/>
        <w:ind w:firstLine="0" w:firstLineChars="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苏工信数据〔2022〕3</w:t>
      </w:r>
      <w:r>
        <w:rPr>
          <w:rFonts w:hint="eastAsia" w:ascii="Times New Roman" w:hAnsi="Times New Roman" w:eastAsia="方正仿宋_GBK" w:cs="Times New Roman"/>
          <w:sz w:val="32"/>
          <w:szCs w:val="32"/>
          <w:lang w:val="en-US" w:eastAsia="zh-CN"/>
        </w:rPr>
        <w:t>96</w:t>
      </w:r>
      <w:r>
        <w:rPr>
          <w:rFonts w:ascii="Times New Roman" w:hAnsi="Times New Roman" w:eastAsia="方正仿宋_GBK" w:cs="Times New Roman"/>
          <w:sz w:val="32"/>
          <w:szCs w:val="32"/>
        </w:rPr>
        <w:t>号</w:t>
      </w:r>
    </w:p>
    <w:p>
      <w:pPr>
        <w:spacing w:line="600" w:lineRule="exact"/>
        <w:ind w:firstLine="0" w:firstLineChars="0"/>
        <w:jc w:val="center"/>
        <w:rPr>
          <w:rFonts w:ascii="Times New Roman" w:hAnsi="Times New Roman" w:eastAsia="方正仿宋_GBK" w:cs="Times New Roman"/>
          <w:sz w:val="32"/>
          <w:szCs w:val="32"/>
        </w:rPr>
      </w:pPr>
      <w:r>
        <w:rPr>
          <w:rFonts w:ascii="Arial" w:hAnsi="Arial"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26.5pt;margin-top:20.4pt;height:0pt;width:486pt;z-index:251661312;mso-width-relative:page;mso-height-relative:page;" filled="f" stroked="t" coordsize="21600,21600" o:gfxdata="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6&#10;fHlz1wAAAAkBAAAPAAAAAAAAAAEAIAAAADgAAABkcnMvZG93bnJldi54bWxQSwECFAAUAAAACACH&#10;TuJAksnmf9YBAAB7AwAADgAAAAAAAAABACAAAAA8AQAAZHJzL2Uyb0RvYy54bWxQSwUGAAAAAAYA&#10;BgBZAQAAhAUAAAAA&#10;">
                <v:fill on="f" focussize="0,0"/>
                <v:stroke weight="1.5pt" color="#FF0000" joinstyle="round"/>
                <v:imagedata o:title=""/>
                <o:lock v:ext="edit" aspectratio="f"/>
              </v:line>
            </w:pict>
          </mc:Fallback>
        </mc:AlternateContent>
      </w:r>
      <w:r>
        <w:rPr>
          <w:rFonts w:ascii="Arial" w:hAnsi="Arial"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48.95pt;margin-top:673.15pt;height:0pt;width:486pt;z-index:251660288;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07Cwo&#10;1gAAAA0BAAAPAAAAAAAAAAEAIAAAADgAAABkcnMvZG93bnJldi54bWxQSwECFAAUAAAACACHTuJA&#10;382sBtQBAAB7AwAADgAAAAAAAAABACAAAAA7AQAAZHJzL2Uyb0RvYy54bWxQSwUGAAAAAAYABgBZ&#10;AQAAgQUAAAAA&#10;">
                <v:fill on="f" focussize="0,0"/>
                <v:stroke weight="1.5pt" color="#000000" joinstyle="round"/>
                <v:imagedata o:title=""/>
                <o:lock v:ext="edit" aspectratio="f"/>
              </v:line>
            </w:pict>
          </mc:Fallback>
        </mc:AlternateContent>
      </w:r>
    </w:p>
    <w:p>
      <w:pPr>
        <w:spacing w:line="560" w:lineRule="exact"/>
        <w:ind w:firstLine="880" w:firstLineChars="200"/>
        <w:jc w:val="center"/>
        <w:rPr>
          <w:rFonts w:ascii="方正小标宋_GBK" w:hAnsi="Arial" w:eastAsia="方正小标宋_GBK" w:cs="Times New Roman"/>
          <w:sz w:val="44"/>
          <w:szCs w:val="44"/>
        </w:rPr>
      </w:pPr>
      <w:bookmarkStart w:id="0" w:name="Content"/>
      <w:bookmarkEnd w:id="0"/>
      <w:r>
        <w:rPr>
          <w:rFonts w:hint="eastAsia" w:ascii="方正小标宋_GBK" w:hAnsi="Arial" w:eastAsia="方正小标宋_GBK" w:cs="Times New Roman"/>
          <w:sz w:val="44"/>
          <w:szCs w:val="44"/>
          <w:lang w:bidi="ar"/>
        </w:rPr>
        <w:t xml:space="preserve"> </w:t>
      </w:r>
    </w:p>
    <w:p>
      <w:pPr>
        <w:pStyle w:val="6"/>
        <w:shd w:val="clear" w:color="auto" w:fill="FFFFFF"/>
        <w:spacing w:before="0" w:beforeAutospacing="0" w:after="0" w:afterAutospacing="0" w:line="590" w:lineRule="exact"/>
        <w:rPr>
          <w:rFonts w:ascii="Times New Roman" w:hAnsi="Times New Roman" w:cs="Times New Roman"/>
        </w:rPr>
      </w:pPr>
    </w:p>
    <w:p>
      <w:pPr>
        <w:pStyle w:val="6"/>
        <w:shd w:val="clear" w:color="auto" w:fill="FFFFFF"/>
        <w:spacing w:before="0" w:beforeAutospacing="0" w:after="0" w:afterAutospacing="0"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关于公布江苏省第三批《数据管理能力</w:t>
      </w:r>
    </w:p>
    <w:p>
      <w:pPr>
        <w:pStyle w:val="6"/>
        <w:shd w:val="clear" w:color="auto" w:fill="FFFFFF"/>
        <w:spacing w:before="0" w:beforeAutospacing="0" w:after="0" w:afterAutospacing="0"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成熟度评估模型》贯标评估单位的通知</w:t>
      </w:r>
    </w:p>
    <w:p>
      <w:pPr>
        <w:pStyle w:val="6"/>
        <w:shd w:val="clear" w:color="auto" w:fill="FFFFFF"/>
        <w:spacing w:before="0" w:beforeAutospacing="0" w:after="0" w:afterAutospacing="0" w:line="590" w:lineRule="exact"/>
        <w:ind w:firstLine="2240" w:firstLineChars="700"/>
        <w:rPr>
          <w:rFonts w:hint="eastAsia" w:ascii="Times New Roman" w:hAnsi="Times New Roman" w:eastAsia="方正仿宋_GBK" w:cs="Times New Roman"/>
          <w:sz w:val="32"/>
          <w:szCs w:val="32"/>
        </w:rPr>
      </w:pPr>
    </w:p>
    <w:p>
      <w:pPr>
        <w:pStyle w:val="6"/>
        <w:shd w:val="clear" w:color="auto" w:fill="FFFFFF"/>
        <w:spacing w:before="0" w:beforeAutospacing="0" w:after="0" w:afterAutospacing="0"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各设区市工信局（大数据产业发展主管部门），昆山市、泰兴市、沭阳县工信局，各有关单位：</w:t>
      </w:r>
    </w:p>
    <w:p>
      <w:pPr>
        <w:pStyle w:val="6"/>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工业和信息化部办公厅关于印发企业数据管理国家标准贯标工作方案的通知》（工信厅信发函【2022】81号）、《江苏省工业大数据发展实施意见》（苏工信数据【2020】661号），积极开展数据管理国家标准贯标工作试点，推动企业提升数据管理能力，提高数据要素供给质量，我厅在全省开展了第三批《数据管理能力成熟度评估模型》（简称DCMM）贯标评估单位遴选工作。经单位申报、地方推荐、形式审查、第三方评估机构评审、网上公示等，遴选出江苏省人民医院（南京医科大学第一附属医院）等8</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家单位为第三批DCMM贯标评估单位（其中</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家为贯标评估备选单位），</w:t>
      </w:r>
      <w:r>
        <w:rPr>
          <w:rFonts w:ascii="Times New Roman" w:hAnsi="Times New Roman" w:eastAsia="方正仿宋_GBK" w:cs="Times New Roman"/>
          <w:sz w:val="32"/>
          <w:szCs w:val="32"/>
          <w:shd w:val="clear" w:color="auto" w:fill="FFFFFF"/>
        </w:rPr>
        <w:t>现将名单予以公布</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下一步，省工信厅将委托第三方评估机构、服务机构开展贯标评估和服务工作。为提高DCMM贯标评估工作成效，特提出如下要求：</w:t>
      </w:r>
    </w:p>
    <w:p>
      <w:pPr>
        <w:pStyle w:val="6"/>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000000"/>
          <w:sz w:val="36"/>
          <w:szCs w:val="36"/>
        </w:rPr>
        <w:t xml:space="preserve"> </w:t>
      </w:r>
      <w:r>
        <w:rPr>
          <w:rFonts w:ascii="Times New Roman" w:hAnsi="Times New Roman" w:eastAsia="方正仿宋_GBK" w:cs="Times New Roman"/>
          <w:color w:val="000000"/>
          <w:sz w:val="32"/>
          <w:szCs w:val="32"/>
        </w:rPr>
        <w:t>我省已把通过DCMM贯标评估的数量列入全省数字经济发展综合评价指标体系，省工信厅也将在大数据试点示范项目评选等重点工作中进一步加大对DCMM贯标评估结果的</w:t>
      </w:r>
      <w:r>
        <w:rPr>
          <w:rFonts w:hint="eastAsia" w:ascii="Times New Roman" w:hAnsi="Times New Roman" w:eastAsia="方正仿宋_GBK" w:cs="Times New Roman"/>
          <w:color w:val="000000"/>
          <w:sz w:val="32"/>
          <w:szCs w:val="32"/>
        </w:rPr>
        <w:t>采用</w:t>
      </w:r>
      <w:r>
        <w:rPr>
          <w:rFonts w:ascii="Times New Roman" w:hAnsi="Times New Roman" w:eastAsia="方正仿宋_GBK" w:cs="Times New Roman"/>
          <w:color w:val="000000"/>
          <w:sz w:val="32"/>
          <w:szCs w:val="32"/>
        </w:rPr>
        <w:t>力度。</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地、各</w:t>
      </w:r>
      <w:r>
        <w:rPr>
          <w:rFonts w:ascii="Times New Roman" w:hAnsi="Times New Roman" w:eastAsia="方正仿宋_GBK" w:cs="Times New Roman"/>
          <w:sz w:val="32"/>
          <w:szCs w:val="32"/>
        </w:rPr>
        <w:t>有关部门要高度重视，积极跟踪贯标评估工作进度，把控贯标评估质量，协调解决贯标评估工作中出现的问题，督促贯标评估单位根据专家的意见建议进行整改提升。</w:t>
      </w:r>
    </w:p>
    <w:p>
      <w:pPr>
        <w:pStyle w:val="6"/>
        <w:shd w:val="clear" w:color="auto" w:fill="FFFFFF"/>
        <w:spacing w:before="0" w:beforeAutospacing="0" w:after="0" w:afterAutospacing="0" w:line="590" w:lineRule="exact"/>
        <w:ind w:firstLine="48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2.评估机构和服务机构对遴选出的贯标评估单位开展DCMM贯标评估和服务，帮助其梳理数据管理存在的问题，提出整改提升方向。</w:t>
      </w:r>
    </w:p>
    <w:p>
      <w:pPr>
        <w:pStyle w:val="6"/>
        <w:shd w:val="clear" w:color="auto" w:fill="FFFFFF"/>
        <w:spacing w:before="0" w:beforeAutospacing="0" w:after="0" w:afterAutospacing="0" w:line="590" w:lineRule="exact"/>
        <w:ind w:firstLine="48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3.不配合评估、自愿放弃评估的单位，3年内不得再次申报省DCMM评估单位，由贯标评估备选单位依次递补。 </w:t>
      </w:r>
    </w:p>
    <w:p>
      <w:pPr>
        <w:pStyle w:val="6"/>
        <w:shd w:val="clear" w:color="auto" w:fill="FFFFFF"/>
        <w:spacing w:before="0" w:beforeAutospacing="0" w:after="0" w:afterAutospacing="0" w:line="590" w:lineRule="exact"/>
        <w:ind w:firstLine="480"/>
        <w:jc w:val="both"/>
        <w:rPr>
          <w:rFonts w:ascii="Times New Roman" w:hAnsi="Times New Roman" w:eastAsia="方正仿宋_GBK" w:cs="Times New Roman"/>
          <w:sz w:val="32"/>
          <w:szCs w:val="32"/>
        </w:rPr>
      </w:pPr>
    </w:p>
    <w:p>
      <w:pPr>
        <w:pStyle w:val="6"/>
        <w:shd w:val="clear" w:color="auto" w:fill="FFFFFF"/>
        <w:spacing w:before="0" w:beforeAutospacing="0" w:after="0" w:afterAutospacing="0" w:line="590" w:lineRule="exact"/>
        <w:ind w:firstLine="48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附件：第三批DCMM贯标评估单位名单</w:t>
      </w:r>
    </w:p>
    <w:p>
      <w:pPr>
        <w:pStyle w:val="6"/>
        <w:shd w:val="clear" w:color="auto" w:fill="FFFFFF"/>
        <w:spacing w:before="0" w:beforeAutospacing="0" w:after="0" w:afterAutospacing="0" w:line="590" w:lineRule="exact"/>
        <w:jc w:val="both"/>
        <w:rPr>
          <w:rFonts w:ascii="Times New Roman" w:hAnsi="Times New Roman" w:eastAsia="方正仿宋_GBK" w:cs="Times New Roman"/>
          <w:sz w:val="32"/>
          <w:szCs w:val="32"/>
        </w:rPr>
      </w:pPr>
    </w:p>
    <w:p>
      <w:pPr>
        <w:pStyle w:val="6"/>
        <w:shd w:val="clear" w:color="auto" w:fill="FFFFFF"/>
        <w:spacing w:before="0" w:beforeAutospacing="0" w:after="0" w:afterAutospacing="0" w:line="590" w:lineRule="exact"/>
        <w:ind w:firstLine="48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江苏省工业和信息化厅</w:t>
      </w:r>
    </w:p>
    <w:p>
      <w:pPr>
        <w:pStyle w:val="6"/>
        <w:shd w:val="clear" w:color="auto" w:fill="FFFFFF"/>
        <w:spacing w:before="0" w:beforeAutospacing="0" w:after="0" w:afterAutospacing="0" w:line="590" w:lineRule="exact"/>
        <w:ind w:firstLine="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2022年8月</w:t>
      </w:r>
      <w:r>
        <w:rPr>
          <w:rFonts w:hint="eastAsia" w:ascii="Times New Roman" w:hAnsi="Times New Roman" w:eastAsia="方正仿宋_GBK" w:cs="Times New Roman"/>
          <w:sz w:val="32"/>
          <w:szCs w:val="32"/>
          <w:lang w:val="en-US" w:eastAsia="zh-CN"/>
        </w:rPr>
        <w:t>9</w:t>
      </w:r>
      <w:bookmarkStart w:id="1" w:name="_GoBack"/>
      <w:bookmarkEnd w:id="1"/>
      <w:r>
        <w:rPr>
          <w:rFonts w:ascii="Times New Roman" w:hAnsi="Times New Roman" w:eastAsia="方正仿宋_GBK" w:cs="Times New Roman"/>
          <w:sz w:val="32"/>
          <w:szCs w:val="32"/>
        </w:rPr>
        <w:t>日</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
        <w:rPr>
          <w:rFonts w:ascii="方正黑体_GBK" w:hAnsi="方正黑体_GBK" w:eastAsia="方正黑体_GBK" w:cs="方正黑体_GBK"/>
        </w:rPr>
      </w:pPr>
      <w:r>
        <w:rPr>
          <w:rFonts w:hint="eastAsia" w:ascii="方正黑体_GBK" w:hAnsi="方正黑体_GBK" w:eastAsia="方正黑体_GBK" w:cs="方正黑体_GBK"/>
          <w:sz w:val="32"/>
          <w:szCs w:val="32"/>
        </w:rPr>
        <w:t>附件</w:t>
      </w:r>
    </w:p>
    <w:tbl>
      <w:tblPr>
        <w:tblStyle w:val="7"/>
        <w:tblW w:w="8700" w:type="dxa"/>
        <w:tblInd w:w="93" w:type="dxa"/>
        <w:tblLayout w:type="autofit"/>
        <w:tblCellMar>
          <w:top w:w="0" w:type="dxa"/>
          <w:left w:w="108" w:type="dxa"/>
          <w:bottom w:w="0" w:type="dxa"/>
          <w:right w:w="108" w:type="dxa"/>
        </w:tblCellMar>
      </w:tblPr>
      <w:tblGrid>
        <w:gridCol w:w="1166"/>
        <w:gridCol w:w="6243"/>
        <w:gridCol w:w="1291"/>
      </w:tblGrid>
      <w:tr>
        <w:tblPrEx>
          <w:tblCellMar>
            <w:top w:w="0" w:type="dxa"/>
            <w:left w:w="108" w:type="dxa"/>
            <w:bottom w:w="0" w:type="dxa"/>
            <w:right w:w="108" w:type="dxa"/>
          </w:tblCellMar>
        </w:tblPrEx>
        <w:trPr>
          <w:trHeight w:val="934" w:hRule="atLeast"/>
        </w:trPr>
        <w:tc>
          <w:tcPr>
            <w:tcW w:w="8700" w:type="dxa"/>
            <w:gridSpan w:val="3"/>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lang w:bidi="ar"/>
              </w:rPr>
              <w:t>第三批DCMM贯标评估单位名单</w:t>
            </w:r>
          </w:p>
        </w:tc>
      </w:tr>
      <w:tr>
        <w:tblPrEx>
          <w:tblCellMar>
            <w:top w:w="0" w:type="dxa"/>
            <w:left w:w="108" w:type="dxa"/>
            <w:bottom w:w="0" w:type="dxa"/>
            <w:right w:w="108" w:type="dxa"/>
          </w:tblCellMar>
        </w:tblPrEx>
        <w:trPr>
          <w:trHeight w:val="623"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一、贯标评估单位（75家）</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序号</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单位名称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地区</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江苏省人民医院（南京医科大学第一附属医院）</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菲尼克斯亚太电气（南京）有限公司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中电鸿信信息科技有限公司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信联科技（南京）有限公司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汇智科技（南京）有限公司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中邮建技术有限公司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苏银金融租赁股份有限公司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南京东华智能转向系统有限公司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江苏邦宁科技有限公司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江苏曼荼罗软件股份有限公司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浪潮卓数大数据产业发展有限公司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住电粉末冶金（无锡）有限公司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江苏新格尔人居科技有限公司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4"/>
                <w:rFonts w:hint="default"/>
                <w:lang w:bidi="ar"/>
              </w:rPr>
              <w:t>江苏红豆工业互联网有限公司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江苏晟能科技有限公司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蓝深远望科技股份有限公司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海澜智云科技有限公司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无锡</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徐州徐工挖掘机械有限公司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徐州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江苏华辰变压器股份有限公司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徐州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江苏振邦智慧城市信息系统有限公司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常州产业投资集团有限公司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常州市新博科技有限公司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江苏中盈高科智能信息股份有限公司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常州健康医疗大数据运营有限公司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中车戚墅堰机车有限公司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常州大数据有限公司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常州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江苏未至科技股份有限公司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苏州赛美科基因科技有限公司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太极半导体（苏州）有限公司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江苏凯伦建材股份有限公司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衍之道（江苏）水务科技有限公司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企查查科技有限公司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苏州凌旭信息科技有限公司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江苏亨通数字智能科技有限公司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江苏网进科技股份有限公司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江苏盖睿健康科技有限公司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中亿丰数字科技有限公司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苏州云联智慧信息技术应用有限公司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研华科技（中国）有限公司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苏州维信电子有限公司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苏州琅润达检测科技有限公司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沃太能源股份有限公司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南通</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4"/>
                <w:rFonts w:hint="default"/>
                <w:lang w:bidi="ar"/>
              </w:rPr>
              <w:t>江苏海隆华思计算机系统有限公司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南通</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江苏文凤化纤集团有限公司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南通</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南通双弘纺织有限公司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南通</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南通东华软件有限公司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南通</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江苏洋井石化集团有限公司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连云港</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江苏交控智慧城市技术有限公司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连云港</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江苏核电有限公司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连云港</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日出东方控股股份有限公司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连云港</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西派集团有限公司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淮安</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江苏富乐华半导体科技股份有限公司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盐城朗坤数字乡村科技有限公司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江苏大丰农村商业银行股份有限公司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普天智慧城市投资江苏有限公司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阜宁阿特斯阳光电力科技有限公司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上海题桥江苏纺织科技有限公司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江苏易图地理信息科技有限公司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扬州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扬州万方科技股份有限公司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扬州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扬州宏创科技发展股份有限公司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扬州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江苏鼎集智能科技股份有限公司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扬州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江苏亚威机床股份有限公司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扬州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中海油气（泰州）石化有限公司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江苏格尔顿传动有限公司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江苏泰隆减速机股份有限公司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江苏科兴电器有限公司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67</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扬子江药业集团江苏龙凤堂中药有限公司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68</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江苏隆基乐叶光伏科技有限公司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69</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江苏太平洋精锻科技股份有限公司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70</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赢胜节能集团股份有限公司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泰州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江苏华工激光科技有限公司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宿迁</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江苏京世大数据管理有限公司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宿迁</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江苏联旺信息科技有限公司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宿迁</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江苏洋河酒厂股份有限公司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宿迁</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75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江苏箭鹿毛纺股份有限公司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宿迁</w:t>
            </w:r>
          </w:p>
        </w:tc>
      </w:tr>
      <w:tr>
        <w:tblPrEx>
          <w:tblCellMar>
            <w:top w:w="0" w:type="dxa"/>
            <w:left w:w="108" w:type="dxa"/>
            <w:bottom w:w="0" w:type="dxa"/>
            <w:right w:w="108" w:type="dxa"/>
          </w:tblCellMar>
        </w:tblPrEx>
        <w:trPr>
          <w:trHeight w:val="633" w:hRule="atLeast"/>
        </w:trPr>
        <w:tc>
          <w:tcPr>
            <w:tcW w:w="0" w:type="auto"/>
            <w:gridSpan w:val="3"/>
            <w:tcBorders>
              <w:top w:val="nil"/>
              <w:left w:val="nil"/>
              <w:bottom w:val="nil"/>
              <w:right w:val="nil"/>
            </w:tcBorders>
            <w:shd w:val="clear" w:color="auto" w:fill="auto"/>
            <w:noWrap/>
            <w:vAlign w:val="center"/>
          </w:tcPr>
          <w:p>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二、贯标评估备选单位（6家）</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序号</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单位名称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地区</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1</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连云港电子口岸信息发展有限公司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连云港</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2</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江苏润阳光伏科技有限公司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盐城</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3</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南京金宁汇科技有限公司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南京</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4</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江苏中教科信息技术有限公司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3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5</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苏州城方信息技术有限公司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r>
        <w:tblPrEx>
          <w:tblCellMar>
            <w:top w:w="0" w:type="dxa"/>
            <w:left w:w="108" w:type="dxa"/>
            <w:bottom w:w="0" w:type="dxa"/>
            <w:right w:w="108" w:type="dxa"/>
          </w:tblCellMar>
        </w:tblPrEx>
        <w:trPr>
          <w:trHeight w:val="643"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lang w:bidi="ar"/>
              </w:rPr>
              <w:t>6</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8"/>
                <w:szCs w:val="28"/>
              </w:rPr>
            </w:pPr>
            <w:r>
              <w:rPr>
                <w:rStyle w:val="13"/>
                <w:rFonts w:hint="default"/>
                <w:lang w:bidi="ar"/>
              </w:rPr>
              <w:t>苏州傲君信息技术有限公司</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8"/>
                <w:szCs w:val="28"/>
              </w:rPr>
            </w:pPr>
            <w:r>
              <w:rPr>
                <w:rStyle w:val="13"/>
                <w:rFonts w:hint="default"/>
                <w:lang w:bidi="ar"/>
              </w:rPr>
              <w:t>苏州</w:t>
            </w:r>
          </w:p>
        </w:tc>
      </w:tr>
    </w:tbl>
    <w:p>
      <w:pPr>
        <w:spacing w:line="590" w:lineRule="exact"/>
        <w:rPr>
          <w:rFonts w:ascii="Times New Roman" w:hAnsi="Times New Roman" w:eastAsia="方正仿宋_GBK" w:cs="Times New Roman"/>
          <w:sz w:val="32"/>
          <w:szCs w:val="32"/>
        </w:rPr>
      </w:pPr>
    </w:p>
    <w:sectPr>
      <w:pgSz w:w="11906" w:h="16838"/>
      <w:pgMar w:top="2007"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YjQ0NWI0MmNiMDgyMGFmY2FiMzhmZDFhNzViODQifQ=="/>
  </w:docVars>
  <w:rsids>
    <w:rsidRoot w:val="00856AC0"/>
    <w:rsid w:val="00061677"/>
    <w:rsid w:val="001677FF"/>
    <w:rsid w:val="001C75E8"/>
    <w:rsid w:val="00322937"/>
    <w:rsid w:val="00467859"/>
    <w:rsid w:val="004B0319"/>
    <w:rsid w:val="004D7A7E"/>
    <w:rsid w:val="006075F8"/>
    <w:rsid w:val="00612621"/>
    <w:rsid w:val="00612F56"/>
    <w:rsid w:val="00626610"/>
    <w:rsid w:val="006E114C"/>
    <w:rsid w:val="00710E4A"/>
    <w:rsid w:val="00796DA5"/>
    <w:rsid w:val="00856AC0"/>
    <w:rsid w:val="008C5895"/>
    <w:rsid w:val="00992288"/>
    <w:rsid w:val="009B1F52"/>
    <w:rsid w:val="009C533B"/>
    <w:rsid w:val="009D5246"/>
    <w:rsid w:val="00B07A39"/>
    <w:rsid w:val="00B205FC"/>
    <w:rsid w:val="00B322E6"/>
    <w:rsid w:val="00BC11EF"/>
    <w:rsid w:val="00CF120F"/>
    <w:rsid w:val="00D02838"/>
    <w:rsid w:val="00D20982"/>
    <w:rsid w:val="00DC7555"/>
    <w:rsid w:val="00E8131A"/>
    <w:rsid w:val="00EA4372"/>
    <w:rsid w:val="00EB0846"/>
    <w:rsid w:val="00F1594D"/>
    <w:rsid w:val="00F24FFA"/>
    <w:rsid w:val="00FB57C3"/>
    <w:rsid w:val="00FD4D14"/>
    <w:rsid w:val="0E0307E8"/>
    <w:rsid w:val="107A7E67"/>
    <w:rsid w:val="19FF4948"/>
    <w:rsid w:val="1C703346"/>
    <w:rsid w:val="21AC758F"/>
    <w:rsid w:val="24766A4B"/>
    <w:rsid w:val="2F754B98"/>
    <w:rsid w:val="3598667C"/>
    <w:rsid w:val="3FF079FA"/>
    <w:rsid w:val="44BB29C9"/>
    <w:rsid w:val="48494774"/>
    <w:rsid w:val="4F7D311E"/>
    <w:rsid w:val="6ADC3460"/>
    <w:rsid w:val="722A5EA4"/>
    <w:rsid w:val="7B3CF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font7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91"/>
    <w:basedOn w:val="8"/>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380</Words>
  <Characters>2169</Characters>
  <Lines>18</Lines>
  <Paragraphs>5</Paragraphs>
  <TotalTime>2</TotalTime>
  <ScaleCrop>false</ScaleCrop>
  <LinksUpToDate>false</LinksUpToDate>
  <CharactersWithSpaces>2544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2022-07-29T10:57:00Z</dcterms:created>
  <dc:creator>admin</dc:creator>
  <cp:lastModifiedBy>uos</cp:lastModifiedBy>
  <cp:lastPrinted>2020-12-04T10:14:00Z</cp:lastPrinted>
  <dcterms:modified xsi:type="dcterms:W3CDTF">2022-08-11T08:56:39Z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3A96939750C949C9A5DD90E60B6ED418</vt:lpwstr>
  </property>
</Properties>
</file>