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2D" w:rsidRPr="008A3A2D" w:rsidRDefault="008A3A2D" w:rsidP="008A3A2D">
      <w:pPr>
        <w:spacing w:beforeLines="50" w:before="156" w:afterLines="50" w:after="156" w:line="44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8A3A2D">
        <w:rPr>
          <w:rFonts w:asciiTheme="minorEastAsia" w:hAnsiTheme="minorEastAsia" w:hint="eastAsia"/>
          <w:b/>
          <w:sz w:val="28"/>
          <w:szCs w:val="28"/>
        </w:rPr>
        <w:t>部分指标和要求说明</w:t>
      </w:r>
      <w:bookmarkStart w:id="0" w:name="_GoBack"/>
      <w:bookmarkEnd w:id="0"/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一）指标中如对期限无特殊说明，一般使用企业近1年的年度数据，具体定义为：指企业上一完整会计年度，以企业上一年度审计报告期末数为准。对于存在子公司或母公司的企业，按财政部印发的《企业会计准则》有关规定执行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（二）所称拥有自主品牌是指主营业务产品或服务具有自主知识产权，且符合下列条件之一：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1.产品或服务品牌已经国家知识产权局商标局正式注册。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2.产品或服务已经实现收入。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（三）所称“Ⅰ类知识产权”包括发明专利（含国防专利）、植物新品种、国家级农作物品种、国家新药、国家一级中药保护品种、集成电路布图设计专有权（均不包含转让未满1年的知识产权）。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（四）所称“Ⅰ类高价值知识产权”须符合以下条件之一：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1.在海外有同族专利权的发明专利或在海外取得收入的其他Ⅰ类知识产权，其中专利限G20成员、新加坡以及欧洲专利局经实质审查后获得授权的发明专利。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2.维持年限超过10年的Ⅰ类知识产权。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3.实现较高质押融资金额的Ⅰ类知识产权。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4.获得国家科学技术奖或中国专利奖的Ⅰ类知识产权。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（五）所称“Ⅱ类知识产权”包括与主导产品相关的软件著作权（不含商标）、授权后维持超过2年的实用新型专利或外观设计专利（均不包含转让未满1年的知识产权）。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（六）所称“企业数字化转型水平”是指在优质中小企业梯度培育平台完成数字化水平免费自测，具体自测网址、相关标准等事宜，另行明确。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（七）所称“重大安全（含网络安全、数据安全）、质量、环境污染等事故”是指产品安全、生产安全、工程质量安全、环境保护、网络安全等各级监</w:t>
      </w:r>
      <w:r w:rsidRPr="008A3A2D">
        <w:rPr>
          <w:rFonts w:asciiTheme="minorEastAsia" w:hAnsiTheme="minorEastAsia" w:hint="eastAsia"/>
          <w:sz w:val="25"/>
          <w:szCs w:val="25"/>
        </w:rPr>
        <w:lastRenderedPageBreak/>
        <w:t>管部门，依据《中华人民共和国安全生产法》《中华人民共和国环境保护法》《生产安全事故报告和调查处理条例》《中华人民共和国网络安全法》《中华人民共和国数据安全法》等法律法规，最高人民法院、最高人民检察院司法解释，部门规章以及地方法规等出具的判定意见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（八）所称“股权融资”是指公司股东稀释部分公司股权给投资人，以增资扩股（出让股权不超过30%）的方式引进新的股东，从而取得公司融资的方式。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（九）所称“合格机构投资者”是指符合《创业投资企业管理暂行办法》（发展改革委等10部门令第39号）或者《私募投资基金监督管理暂行办法》（证监会令第105号）相关规定，按照上述规定完成备案</w:t>
      </w:r>
      <w:proofErr w:type="gramStart"/>
      <w:r w:rsidRPr="008A3A2D">
        <w:rPr>
          <w:rFonts w:asciiTheme="minorEastAsia" w:hAnsiTheme="minorEastAsia" w:hint="eastAsia"/>
          <w:sz w:val="25"/>
          <w:szCs w:val="25"/>
        </w:rPr>
        <w:t>且规范</w:t>
      </w:r>
      <w:proofErr w:type="gramEnd"/>
      <w:r w:rsidRPr="008A3A2D">
        <w:rPr>
          <w:rFonts w:asciiTheme="minorEastAsia" w:hAnsiTheme="minorEastAsia" w:hint="eastAsia"/>
          <w:sz w:val="25"/>
          <w:szCs w:val="25"/>
        </w:rPr>
        <w:t>运作的创业投资基金及私</w:t>
      </w:r>
      <w:proofErr w:type="gramStart"/>
      <w:r w:rsidRPr="008A3A2D">
        <w:rPr>
          <w:rFonts w:asciiTheme="minorEastAsia" w:hAnsiTheme="minorEastAsia" w:hint="eastAsia"/>
          <w:sz w:val="25"/>
          <w:szCs w:val="25"/>
        </w:rPr>
        <w:t>募股权投资</w:t>
      </w:r>
      <w:proofErr w:type="gramEnd"/>
      <w:r w:rsidRPr="008A3A2D">
        <w:rPr>
          <w:rFonts w:asciiTheme="minorEastAsia" w:hAnsiTheme="minorEastAsia" w:hint="eastAsia"/>
          <w:sz w:val="25"/>
          <w:szCs w:val="25"/>
        </w:rPr>
        <w:t>基金。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（十）所称“主导产品”是指企业核心技术在产品中发挥重要作用，且产品收入之和占企业同期营业收入比重超过50%。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（十一）所称“主导产品在全国细分市场占有率达10%以上，且享有较高知名度和影响力”可通过企业自证或其他方式佐证。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（十二）所称“省级科技奖励”包括各省、自治区、直辖市科学技术奖的一、二、三等奖；“国家级科技奖励”包括国家科学技术进步奖、国家自然科学奖、国家技术发明奖，以及国防科技奖。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（十三）如无特殊说明，所称“以上”、“以下”，包括本数；所称的“超过”，不包括本数。在计算评价指标得分时，如指标</w:t>
      </w:r>
      <w:proofErr w:type="gramStart"/>
      <w:r w:rsidRPr="008A3A2D">
        <w:rPr>
          <w:rFonts w:asciiTheme="minorEastAsia" w:hAnsiTheme="minorEastAsia" w:hint="eastAsia"/>
          <w:sz w:val="25"/>
          <w:szCs w:val="25"/>
        </w:rPr>
        <w:t>值位于</w:t>
      </w:r>
      <w:proofErr w:type="gramEnd"/>
      <w:r w:rsidRPr="008A3A2D">
        <w:rPr>
          <w:rFonts w:asciiTheme="minorEastAsia" w:hAnsiTheme="minorEastAsia" w:hint="eastAsia"/>
          <w:sz w:val="25"/>
          <w:szCs w:val="25"/>
        </w:rPr>
        <w:t>两个评分区间边界上，按高分计算得分。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（十四）本办法部分指标计算公式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近2年主营业务收入平均增长率=（企业上一年度主营业务收入增长率+企业上上年度主营业务收入增长率）/2。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企业上一年度主营业务收入增长率=（企业上一年度主营业务收入总额-企业上上年度主营业务收入总额）/企业上上年度主营业务收入总额*100%。其他年度主营业务收入增长率计算方法以此类推。</w:t>
      </w:r>
    </w:p>
    <w:p w:rsidR="008A3A2D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（十五）所称“被列入经营异常名录”以国家企业信用信息公示系统</w:t>
      </w:r>
      <w:r w:rsidRPr="008A3A2D">
        <w:rPr>
          <w:rFonts w:asciiTheme="minorEastAsia" w:hAnsiTheme="minorEastAsia" w:hint="eastAsia"/>
          <w:sz w:val="25"/>
          <w:szCs w:val="25"/>
        </w:rPr>
        <w:lastRenderedPageBreak/>
        <w:t>（http://www.gsxt.gov.cn）查询结果为准；所称“严重失信主体名单”以信用中国（http://www.creditchina.gov.cn）查询结果为准。</w:t>
      </w:r>
    </w:p>
    <w:p w:rsidR="00B64924" w:rsidRPr="008A3A2D" w:rsidRDefault="008A3A2D" w:rsidP="008A3A2D">
      <w:pPr>
        <w:spacing w:beforeLines="50" w:before="156" w:afterLines="50" w:after="156" w:line="440" w:lineRule="exact"/>
        <w:rPr>
          <w:rFonts w:asciiTheme="minorEastAsia" w:hAnsiTheme="minorEastAsia"/>
          <w:sz w:val="25"/>
          <w:szCs w:val="25"/>
        </w:rPr>
      </w:pPr>
      <w:r w:rsidRPr="008A3A2D">
        <w:rPr>
          <w:rFonts w:asciiTheme="minorEastAsia" w:hAnsiTheme="minorEastAsia" w:hint="eastAsia"/>
          <w:sz w:val="25"/>
          <w:szCs w:val="25"/>
        </w:rPr>
        <w:t xml:space="preserve">　　（十六）所称“创客中国”中小企业创新创业大赛全国500强、50强企业组名单是指该大赛2021年以来正式发布的名单。</w:t>
      </w:r>
    </w:p>
    <w:sectPr w:rsidR="00B64924" w:rsidRPr="008A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D"/>
    <w:rsid w:val="00081834"/>
    <w:rsid w:val="00093409"/>
    <w:rsid w:val="008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D5C8A-FD72-4333-9E70-0B77E49C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2022-06-02T07:03:00Z</dcterms:created>
  <dcterms:modified xsi:type="dcterms:W3CDTF">2022-06-02T07:04:00Z</dcterms:modified>
</cp:coreProperties>
</file>