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1B" w:rsidRPr="000E751B" w:rsidRDefault="000E751B" w:rsidP="000E751B">
      <w:pPr>
        <w:spacing w:beforeLines="50" w:before="156" w:afterLines="50" w:after="156" w:line="440" w:lineRule="exact"/>
        <w:jc w:val="center"/>
        <w:rPr>
          <w:rFonts w:asciiTheme="minorEastAsia" w:hAnsiTheme="minorEastAsia" w:hint="eastAsia"/>
          <w:b/>
          <w:sz w:val="28"/>
          <w:szCs w:val="28"/>
        </w:rPr>
      </w:pPr>
      <w:bookmarkStart w:id="0" w:name="_GoBack"/>
      <w:bookmarkEnd w:id="0"/>
      <w:r w:rsidRPr="000E751B">
        <w:rPr>
          <w:rFonts w:asciiTheme="minorEastAsia" w:hAnsiTheme="minorEastAsia" w:hint="eastAsia"/>
          <w:b/>
          <w:sz w:val="28"/>
          <w:szCs w:val="28"/>
        </w:rPr>
        <w:t>专精特新中小企业认定标准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一、认定条件</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同时满足以下四项条件即视为满足认定条件：</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（一）从事特定细分市场时间达到2年以上。</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（二）上年度研发费用总额不低于100万元，且占营业收入总额比重不低于3%。</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（三）上年度营业收入总额在1000万元以上，或上年度营业收入总额在1000万元以下，但近2年新增股权融资总额（合格机构投资者的实缴额）达到2000万元以上。</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（四）评价得分达到60分以上或满足下列条件之一：</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1.近三年获得过省级科技奖励，并在获奖单位中排名前三；或获得国家级科技奖励，并在获奖单位中排名前五。</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2.近两年研发费用总额均值在1000万元以上。</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3.近两年新增股权融资总额（合格机构投资者的实缴额）6000万元以上。</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4.近三年进入“创客中国”中小企业创新创业大赛全国500强企业组名单。</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二、评价指标</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包括专业化、精细化、特色化和创新能力四类十三个指标，评价结果依分值计算，满分为100分。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（一）专业化指标（满分25分）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1.上年度主营业务收入总额占营业收入总额比重（满分5分）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80%以上（5分）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70%-80%（3分）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60%-70%（1分）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lastRenderedPageBreak/>
        <w:t xml:space="preserve">　　D. 60%以下（0分）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2.近2年主营业务收入平均增长率（满分10分）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10%以上（10分）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8%-10%（8分）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6%-8%（6分）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4%-6%（4分）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E. 0%-4%（2分）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F. 0%以下（0分）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3.从事特定细分市场年限（满分5分）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每满2年得1分，最高不超过5分。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4.主导产品所属领域情况（满分5分）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在产业链供应链关键环节及关键领域“补短板”“锻长板”“填空白”取得实际成效（5分）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属于工业“六基”领域、中华老字号名录或企业主导产品服务关键产业链重点龙头企业（3分）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不属于以上情况（0分）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（二）精细化指标（满分25分）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sz w:val="25"/>
          <w:szCs w:val="25"/>
        </w:rPr>
        <w:t xml:space="preserve">　</w:t>
      </w:r>
      <w:r w:rsidRPr="000E751B">
        <w:rPr>
          <w:rFonts w:asciiTheme="minorEastAsia" w:hAnsiTheme="minorEastAsia" w:hint="eastAsia"/>
          <w:b/>
          <w:sz w:val="25"/>
          <w:szCs w:val="25"/>
        </w:rPr>
        <w:t xml:space="preserve">　5.数字化水平（满分5分）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三级以上（5 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二级（3分）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一级（0分）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6.质量管理水平（</w:t>
      </w:r>
      <w:proofErr w:type="gramStart"/>
      <w:r w:rsidRPr="000E751B">
        <w:rPr>
          <w:rFonts w:asciiTheme="minorEastAsia" w:hAnsiTheme="minorEastAsia" w:hint="eastAsia"/>
          <w:b/>
          <w:sz w:val="25"/>
          <w:szCs w:val="25"/>
        </w:rPr>
        <w:t>每满足</w:t>
      </w:r>
      <w:proofErr w:type="gramEnd"/>
      <w:r w:rsidRPr="000E751B">
        <w:rPr>
          <w:rFonts w:asciiTheme="minorEastAsia" w:hAnsiTheme="minorEastAsia" w:hint="eastAsia"/>
          <w:b/>
          <w:sz w:val="25"/>
          <w:szCs w:val="25"/>
        </w:rPr>
        <w:t>一项加3分，最高不超过5分）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获得省级以上质量奖荣誉</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建立质量管理体系，获得ISO9001等质量管理体系认证证书</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lastRenderedPageBreak/>
        <w:t xml:space="preserve">　　C. 拥有自主品牌</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参与制修订标准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7.上年度净利润率（满分10分）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10%以上（10分）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8%-10%（8分）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6%-8%（6分）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4%-6%（4分）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E. 2%-4%（2分）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F. 2%以下（0分）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8.上年度资产负债率（满分5分）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50%以下（5分）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50%-60%（3分）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60%-70%（1分）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D.70%以上（0分）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（三）特色化指标（满分15分）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w:t>
      </w:r>
      <w:r w:rsidRPr="000E751B">
        <w:rPr>
          <w:rFonts w:asciiTheme="minorEastAsia" w:hAnsiTheme="minorEastAsia" w:hint="eastAsia"/>
          <w:b/>
          <w:sz w:val="25"/>
          <w:szCs w:val="25"/>
        </w:rPr>
        <w:t>9.地方特色指标。</w:t>
      </w:r>
      <w:r w:rsidRPr="000E751B">
        <w:rPr>
          <w:rFonts w:asciiTheme="minorEastAsia" w:hAnsiTheme="minorEastAsia" w:hint="eastAsia"/>
          <w:sz w:val="25"/>
          <w:szCs w:val="25"/>
        </w:rPr>
        <w:t>由省级中小企业主管部门结合本地产业状况和中小企业发展实际自主设定1-3个指标进行评价（满分15分）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（四）创新能力指标（满分35分）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10.与企业主导产品相关的有效知识产权数量（满分10分）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Ⅰ类高价值知识产权1项以上（10分）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自主研发Ⅰ类知识产权1项以上（8分）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Ⅰ类知识产权1项以上（6分）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Ⅱ类知识产权1项以上（2分）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lastRenderedPageBreak/>
        <w:t xml:space="preserve">　　E. 无（0分）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11.上年度研发费用投入（满分10分）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研发费用总额500万元以上或研发费用总额占营业收入总额比重在10%以上（10分）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研发费用总额400-500万元或研发费用总额占营业收入总额比重在8%-10%（8分）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研发费用总额300-400万元或研发费用总额占营业收入总额比重在6%-8%（6分）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研发费用总额200-300万元或研发费用总额占营业收入总额比重在4%-6%（4分）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E. 研发费用总额100-200万元或研发费用总额占营业收入总额比重在3%-4%（2分）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F. 不属于以上情况（0分）</w:t>
      </w:r>
    </w:p>
    <w:p w:rsidR="000E751B" w:rsidRPr="000E751B" w:rsidRDefault="000E751B" w:rsidP="000E751B">
      <w:pPr>
        <w:spacing w:beforeLines="50" w:before="156" w:afterLines="50" w:after="156" w:line="440" w:lineRule="exact"/>
        <w:rPr>
          <w:rFonts w:asciiTheme="minorEastAsia" w:hAnsiTheme="minorEastAsia" w:hint="eastAsia"/>
          <w:b/>
          <w:sz w:val="25"/>
          <w:szCs w:val="25"/>
        </w:rPr>
      </w:pPr>
      <w:r w:rsidRPr="000E751B">
        <w:rPr>
          <w:rFonts w:asciiTheme="minorEastAsia" w:hAnsiTheme="minorEastAsia" w:hint="eastAsia"/>
          <w:b/>
          <w:sz w:val="25"/>
          <w:szCs w:val="25"/>
        </w:rPr>
        <w:t xml:space="preserve">　　12.上年度研发人员占比（满分5分）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20%以上（5分）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10%-20%（3分）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5%-10%（1分）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5%以下（0分）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13.建立研发机构级别（满分10分）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A. 国家级（10分）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B. 省级（8分）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C. 市级（4分）</w:t>
      </w:r>
    </w:p>
    <w:p w:rsidR="000E751B" w:rsidRPr="000E751B" w:rsidRDefault="000E751B" w:rsidP="000E751B">
      <w:pPr>
        <w:spacing w:beforeLines="50" w:before="156" w:afterLines="50" w:after="156" w:line="440" w:lineRule="exact"/>
        <w:rPr>
          <w:rFonts w:asciiTheme="minorEastAsia" w:hAnsiTheme="minorEastAsia" w:hint="eastAsia"/>
          <w:sz w:val="25"/>
          <w:szCs w:val="25"/>
        </w:rPr>
      </w:pPr>
      <w:r w:rsidRPr="000E751B">
        <w:rPr>
          <w:rFonts w:asciiTheme="minorEastAsia" w:hAnsiTheme="minorEastAsia" w:hint="eastAsia"/>
          <w:sz w:val="25"/>
          <w:szCs w:val="25"/>
        </w:rPr>
        <w:t xml:space="preserve">　　D. 市级以下（2分）</w:t>
      </w:r>
    </w:p>
    <w:p w:rsidR="00B64924" w:rsidRPr="000E751B" w:rsidRDefault="000E751B" w:rsidP="000E751B">
      <w:pPr>
        <w:spacing w:beforeLines="50" w:before="156" w:afterLines="50" w:after="156" w:line="440" w:lineRule="exact"/>
        <w:rPr>
          <w:rFonts w:asciiTheme="minorEastAsia" w:hAnsiTheme="minorEastAsia"/>
          <w:sz w:val="25"/>
          <w:szCs w:val="25"/>
        </w:rPr>
      </w:pPr>
      <w:r w:rsidRPr="000E751B">
        <w:rPr>
          <w:rFonts w:asciiTheme="minorEastAsia" w:hAnsiTheme="minorEastAsia" w:hint="eastAsia"/>
          <w:sz w:val="25"/>
          <w:szCs w:val="25"/>
        </w:rPr>
        <w:t xml:space="preserve">　　E. 未建立研发机构（0分）</w:t>
      </w:r>
    </w:p>
    <w:sectPr w:rsidR="00B64924" w:rsidRPr="000E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1B"/>
    <w:rsid w:val="00081834"/>
    <w:rsid w:val="00093409"/>
    <w:rsid w:val="000E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C828F-9BBA-469A-A914-C6511835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5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2022-06-02T06:57:00Z</dcterms:created>
  <dcterms:modified xsi:type="dcterms:W3CDTF">2022-06-02T06:59:00Z</dcterms:modified>
</cp:coreProperties>
</file>