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80" w:lineRule="exact"/>
        <w:jc w:val="left"/>
        <w:rPr>
          <w:rFonts w:hint="eastAsia" w:ascii="黑体" w:hAnsi="黑体" w:eastAsia="黑体"/>
          <w:bCs/>
          <w:snapToGrid w:val="0"/>
          <w:kern w:val="0"/>
          <w:szCs w:val="32"/>
        </w:rPr>
      </w:pPr>
      <w:r>
        <w:rPr>
          <w:rFonts w:hint="eastAsia" w:ascii="黑体" w:hAnsi="黑体" w:eastAsia="黑体"/>
          <w:bCs/>
          <w:snapToGrid w:val="0"/>
          <w:kern w:val="0"/>
          <w:szCs w:val="32"/>
        </w:rPr>
        <w:t>附件1</w:t>
      </w:r>
    </w:p>
    <w:p>
      <w:pPr>
        <w:overflowPunct w:val="0"/>
        <w:adjustRightInd w:val="0"/>
        <w:snapToGrid w:val="0"/>
        <w:spacing w:line="580" w:lineRule="exact"/>
        <w:jc w:val="center"/>
        <w:rPr>
          <w:rFonts w:hint="eastAsia" w:eastAsia="方正小标宋简体"/>
          <w:bCs/>
          <w:snapToGrid w:val="0"/>
          <w:kern w:val="0"/>
          <w:sz w:val="44"/>
          <w:szCs w:val="32"/>
        </w:rPr>
      </w:pPr>
      <w:r>
        <w:rPr>
          <w:rFonts w:hint="eastAsia" w:eastAsia="方正小标宋简体"/>
          <w:bCs/>
          <w:snapToGrid w:val="0"/>
          <w:kern w:val="0"/>
          <w:sz w:val="44"/>
          <w:szCs w:val="32"/>
        </w:rPr>
        <w:t>摘    要</w:t>
      </w:r>
    </w:p>
    <w:p>
      <w:pPr>
        <w:overflowPunct w:val="0"/>
        <w:adjustRightInd w:val="0"/>
        <w:snapToGrid w:val="0"/>
        <w:spacing w:line="580" w:lineRule="exact"/>
        <w:jc w:val="center"/>
        <w:rPr>
          <w:rFonts w:hint="eastAsia" w:eastAsia="方正小标宋简体"/>
          <w:bCs/>
          <w:snapToGrid w:val="0"/>
          <w:kern w:val="0"/>
          <w:sz w:val="44"/>
          <w:szCs w:val="32"/>
        </w:rPr>
      </w:pPr>
    </w:p>
    <w:p>
      <w:pPr>
        <w:overflowPunct w:val="0"/>
        <w:adjustRightInd w:val="0"/>
        <w:snapToGrid w:val="0"/>
        <w:spacing w:line="580" w:lineRule="exact"/>
        <w:ind w:firstLine="624" w:firstLineChars="200"/>
        <w:rPr>
          <w:rFonts w:hint="eastAsia" w:eastAsia="黑体"/>
          <w:snapToGrid w:val="0"/>
          <w:kern w:val="0"/>
          <w:szCs w:val="32"/>
        </w:rPr>
      </w:pPr>
      <w:r>
        <w:rPr>
          <w:rFonts w:hint="eastAsia" w:eastAsia="黑体"/>
          <w:snapToGrid w:val="0"/>
          <w:kern w:val="0"/>
          <w:szCs w:val="32"/>
        </w:rPr>
        <w:t>一、项目概况</w:t>
      </w:r>
    </w:p>
    <w:p>
      <w:pPr>
        <w:pStyle w:val="4"/>
        <w:overflowPunct w:val="0"/>
        <w:adjustRightInd w:val="0"/>
        <w:snapToGrid w:val="0"/>
        <w:spacing w:line="580" w:lineRule="exact"/>
        <w:ind w:firstLine="624"/>
        <w:rPr>
          <w:rFonts w:hint="eastAsia" w:ascii="Times New Roman" w:hAnsi="Times New Roman" w:eastAsia="仿宋_GB2312"/>
          <w:snapToGrid w:val="0"/>
          <w:spacing w:val="-4"/>
          <w:kern w:val="0"/>
          <w:sz w:val="32"/>
          <w:szCs w:val="32"/>
        </w:rPr>
      </w:pPr>
      <w:r>
        <w:rPr>
          <w:rFonts w:hint="eastAsia" w:ascii="Times New Roman" w:hAnsi="Times New Roman" w:eastAsia="仿宋_GB2312"/>
          <w:snapToGrid w:val="0"/>
          <w:spacing w:val="-4"/>
          <w:kern w:val="0"/>
          <w:sz w:val="32"/>
          <w:szCs w:val="32"/>
        </w:rPr>
        <w:t>为了准确了解苏州市2020年度科创专项资金（科技人才计划）的使用情况和使用效果，遵循绩效评价的第三方评价原则，苏州市财政局委托苏州立信会计师事务所有限公司对该资金进行了绩效评价。</w:t>
      </w:r>
    </w:p>
    <w:p>
      <w:pPr>
        <w:pStyle w:val="4"/>
        <w:overflowPunct w:val="0"/>
        <w:adjustRightInd w:val="0"/>
        <w:snapToGrid w:val="0"/>
        <w:spacing w:line="580" w:lineRule="exact"/>
        <w:ind w:firstLine="624"/>
        <w:rPr>
          <w:rFonts w:hint="eastAsia" w:ascii="Times New Roman" w:hAnsi="Times New Roman" w:eastAsia="仿宋_GB2312"/>
          <w:snapToGrid w:val="0"/>
          <w:spacing w:val="-4"/>
          <w:kern w:val="0"/>
          <w:sz w:val="32"/>
          <w:szCs w:val="32"/>
        </w:rPr>
      </w:pPr>
      <w:r>
        <w:rPr>
          <w:rFonts w:hint="eastAsia" w:ascii="Times New Roman" w:hAnsi="Times New Roman" w:eastAsia="仿宋_GB2312"/>
          <w:snapToGrid w:val="0"/>
          <w:spacing w:val="-4"/>
          <w:kern w:val="0"/>
          <w:sz w:val="32"/>
          <w:szCs w:val="32"/>
        </w:rPr>
        <w:t>2020年市级财政安排预算（调整后）合计15,004.50万元，实际使用15,004.50万元，其中2020年及2019年立项的创新创业领军人才项目支出11,915.00万元，占79.41%，2020年及2019年重大创新团队人才项目支出1,789.50万元，占11.93%，2020年顶尖人才团队支出1300万元，占8.66%，预算执行率为100%。</w:t>
      </w:r>
    </w:p>
    <w:p>
      <w:pPr>
        <w:overflowPunct w:val="0"/>
        <w:adjustRightInd w:val="0"/>
        <w:snapToGrid w:val="0"/>
        <w:spacing w:line="580" w:lineRule="exact"/>
        <w:ind w:firstLine="624" w:firstLineChars="200"/>
        <w:rPr>
          <w:rFonts w:hint="eastAsia" w:eastAsia="黑体"/>
          <w:snapToGrid w:val="0"/>
          <w:kern w:val="0"/>
          <w:szCs w:val="32"/>
        </w:rPr>
      </w:pPr>
      <w:r>
        <w:rPr>
          <w:rFonts w:hint="eastAsia" w:eastAsia="黑体"/>
          <w:snapToGrid w:val="0"/>
          <w:kern w:val="0"/>
          <w:szCs w:val="32"/>
        </w:rPr>
        <w:t>二、评价结论</w:t>
      </w:r>
    </w:p>
    <w:p>
      <w:pPr>
        <w:pStyle w:val="4"/>
        <w:overflowPunct w:val="0"/>
        <w:adjustRightInd w:val="0"/>
        <w:snapToGrid w:val="0"/>
        <w:spacing w:line="580" w:lineRule="exact"/>
        <w:ind w:firstLine="624"/>
        <w:rPr>
          <w:rFonts w:hint="eastAsia" w:ascii="Times New Roman" w:hAnsi="Times New Roman" w:eastAsia="仿宋_GB2312"/>
          <w:snapToGrid w:val="0"/>
          <w:spacing w:val="-4"/>
          <w:kern w:val="0"/>
          <w:sz w:val="32"/>
          <w:szCs w:val="32"/>
        </w:rPr>
      </w:pPr>
      <w:r>
        <w:rPr>
          <w:rFonts w:hint="eastAsia" w:ascii="Times New Roman" w:hAnsi="Times New Roman" w:eastAsia="仿宋_GB2312"/>
          <w:snapToGrid w:val="0"/>
          <w:spacing w:val="-4"/>
          <w:kern w:val="0"/>
          <w:sz w:val="32"/>
          <w:szCs w:val="32"/>
        </w:rPr>
        <w:t>经评价，本专项资金的管理使用较为规范，基本实现了科技人才专项资金在人才引进、项目资助、人才企业发展、科技创新等方面的任务和目标，在苏州市科技人才引进与产业发展等方面发挥了作用，综合绩效评分为86.09分，绩效评级为“良好”。</w:t>
      </w:r>
    </w:p>
    <w:p>
      <w:pPr>
        <w:overflowPunct w:val="0"/>
        <w:adjustRightInd w:val="0"/>
        <w:snapToGrid w:val="0"/>
        <w:spacing w:line="580" w:lineRule="exact"/>
        <w:ind w:firstLine="624" w:firstLineChars="200"/>
        <w:rPr>
          <w:rFonts w:hint="eastAsia" w:eastAsia="黑体"/>
          <w:snapToGrid w:val="0"/>
          <w:kern w:val="0"/>
          <w:szCs w:val="32"/>
        </w:rPr>
      </w:pPr>
      <w:r>
        <w:rPr>
          <w:rFonts w:hint="eastAsia" w:eastAsia="黑体"/>
          <w:snapToGrid w:val="0"/>
          <w:kern w:val="0"/>
          <w:szCs w:val="32"/>
        </w:rPr>
        <w:t>三、主要成效</w:t>
      </w:r>
    </w:p>
    <w:p>
      <w:pPr>
        <w:pStyle w:val="4"/>
        <w:overflowPunct w:val="0"/>
        <w:adjustRightInd w:val="0"/>
        <w:snapToGrid w:val="0"/>
        <w:spacing w:line="580" w:lineRule="exact"/>
        <w:ind w:firstLine="624"/>
        <w:rPr>
          <w:rFonts w:hint="eastAsia" w:ascii="Times New Roman" w:hAnsi="Times New Roman" w:eastAsia="仿宋_GB2312"/>
          <w:snapToGrid w:val="0"/>
          <w:spacing w:val="-4"/>
          <w:kern w:val="0"/>
          <w:sz w:val="32"/>
          <w:szCs w:val="32"/>
        </w:rPr>
      </w:pPr>
      <w:r>
        <w:rPr>
          <w:rFonts w:hint="eastAsia" w:ascii="Times New Roman" w:hAnsi="Times New Roman" w:eastAsia="仿宋_GB2312"/>
          <w:snapToGrid w:val="0"/>
          <w:spacing w:val="-4"/>
          <w:kern w:val="0"/>
          <w:sz w:val="32"/>
          <w:szCs w:val="32"/>
        </w:rPr>
        <w:t>一是2018至2020年苏州市姑苏人才申请量及认定量逐年呈快速增长趋势，三年平均增长率分别为26.79%和29.93%；二是2020年姑苏人才项目验收总体较好，项目验收通过率（含结题）达93.20%，财政资金对社会资本的撬动超过18倍，达到较好的带动效果；三是苏州市省双创人才占比连续多年第一，超过七成的省双创人才来源于姑苏人才；四是截至2020年底苏州各区累计入选姑苏领军人才项目超过1800个，企业正常运营率约为90%；五是2017至2019年人才企业高企认定占比超过50%，创业人才企业高企占比为44.30%；六是人才企业战略性新兴产业分布较为集中，新一代信息技术产业、高端装备制造产业、新材料产业和生物产业人才数量占比达84.18%；七是区域重点产业人才规模占人才总量的34.50%；八是各调查对象总体满意度较高。</w:t>
      </w:r>
    </w:p>
    <w:p>
      <w:pPr>
        <w:pStyle w:val="4"/>
        <w:overflowPunct w:val="0"/>
        <w:adjustRightInd w:val="0"/>
        <w:snapToGrid w:val="0"/>
        <w:spacing w:line="580" w:lineRule="exact"/>
        <w:ind w:firstLine="624"/>
        <w:rPr>
          <w:rFonts w:hint="eastAsia" w:ascii="Times New Roman" w:hAnsi="Times New Roman" w:eastAsia="黑体"/>
          <w:snapToGrid w:val="0"/>
          <w:spacing w:val="-4"/>
          <w:kern w:val="0"/>
          <w:sz w:val="32"/>
          <w:szCs w:val="32"/>
        </w:rPr>
      </w:pPr>
      <w:r>
        <w:rPr>
          <w:rFonts w:hint="eastAsia" w:ascii="Times New Roman" w:hAnsi="Times New Roman" w:eastAsia="黑体"/>
          <w:snapToGrid w:val="0"/>
          <w:spacing w:val="-4"/>
          <w:kern w:val="0"/>
          <w:sz w:val="32"/>
          <w:szCs w:val="32"/>
        </w:rPr>
        <w:t>四、存在问题</w:t>
      </w:r>
    </w:p>
    <w:p>
      <w:pPr>
        <w:pStyle w:val="4"/>
        <w:overflowPunct w:val="0"/>
        <w:adjustRightInd w:val="0"/>
        <w:snapToGrid w:val="0"/>
        <w:spacing w:line="580" w:lineRule="exact"/>
        <w:ind w:firstLine="624"/>
        <w:rPr>
          <w:rFonts w:hint="eastAsia" w:ascii="Times New Roman" w:hAnsi="Times New Roman" w:eastAsia="楷体_GB2312"/>
          <w:snapToGrid w:val="0"/>
          <w:spacing w:val="-4"/>
          <w:kern w:val="0"/>
          <w:sz w:val="32"/>
          <w:szCs w:val="32"/>
        </w:rPr>
      </w:pPr>
      <w:r>
        <w:rPr>
          <w:rFonts w:hint="eastAsia" w:ascii="Times New Roman" w:hAnsi="Times New Roman" w:eastAsia="楷体_GB2312"/>
          <w:snapToGrid w:val="0"/>
          <w:spacing w:val="-4"/>
          <w:kern w:val="0"/>
          <w:sz w:val="32"/>
          <w:szCs w:val="32"/>
        </w:rPr>
        <w:t>（一）项目管理流程方面的问题</w:t>
      </w:r>
    </w:p>
    <w:p>
      <w:pPr>
        <w:pStyle w:val="4"/>
        <w:overflowPunct w:val="0"/>
        <w:adjustRightInd w:val="0"/>
        <w:snapToGrid w:val="0"/>
        <w:spacing w:line="580" w:lineRule="exact"/>
        <w:ind w:firstLine="624"/>
        <w:rPr>
          <w:rFonts w:hint="eastAsia" w:ascii="Times New Roman" w:hAnsi="Times New Roman" w:eastAsia="仿宋_GB2312"/>
          <w:snapToGrid w:val="0"/>
          <w:spacing w:val="-4"/>
          <w:kern w:val="0"/>
          <w:sz w:val="32"/>
          <w:szCs w:val="32"/>
        </w:rPr>
      </w:pPr>
      <w:r>
        <w:rPr>
          <w:rFonts w:hint="eastAsia" w:ascii="Times New Roman" w:hAnsi="Times New Roman" w:eastAsia="仿宋_GB2312"/>
          <w:snapToGrid w:val="0"/>
          <w:spacing w:val="-4"/>
          <w:kern w:val="0"/>
          <w:sz w:val="32"/>
          <w:szCs w:val="32"/>
        </w:rPr>
        <w:t>1．</w:t>
      </w:r>
      <w:r>
        <w:rPr>
          <w:rFonts w:hint="eastAsia" w:ascii="Times New Roman" w:hAnsi="Times New Roman" w:eastAsia="仿宋_GB2312"/>
          <w:snapToGrid w:val="0"/>
          <w:spacing w:val="-2"/>
          <w:kern w:val="0"/>
          <w:sz w:val="32"/>
          <w:szCs w:val="32"/>
        </w:rPr>
        <w:t>项目验收标准重技术指标，轻经济指标，技术成果转化尚需要提高。</w:t>
      </w:r>
    </w:p>
    <w:p>
      <w:pPr>
        <w:pStyle w:val="4"/>
        <w:overflowPunct w:val="0"/>
        <w:adjustRightInd w:val="0"/>
        <w:snapToGrid w:val="0"/>
        <w:spacing w:line="580" w:lineRule="exact"/>
        <w:ind w:firstLine="624"/>
        <w:rPr>
          <w:rFonts w:hint="eastAsia" w:ascii="Times New Roman" w:hAnsi="Times New Roman" w:eastAsia="仿宋_GB2312"/>
          <w:snapToGrid w:val="0"/>
          <w:spacing w:val="-4"/>
          <w:kern w:val="0"/>
          <w:sz w:val="32"/>
          <w:szCs w:val="32"/>
        </w:rPr>
      </w:pPr>
      <w:r>
        <w:rPr>
          <w:rFonts w:hint="eastAsia" w:ascii="Times New Roman" w:hAnsi="Times New Roman" w:eastAsia="仿宋_GB2312"/>
          <w:snapToGrid w:val="0"/>
          <w:spacing w:val="-4"/>
          <w:kern w:val="0"/>
          <w:sz w:val="32"/>
          <w:szCs w:val="32"/>
        </w:rPr>
        <w:t>2．区域重点产业人才发展未制定中长期发展目标，部分区县板块人才集聚发展不足。</w:t>
      </w:r>
    </w:p>
    <w:p>
      <w:pPr>
        <w:pStyle w:val="4"/>
        <w:overflowPunct w:val="0"/>
        <w:adjustRightInd w:val="0"/>
        <w:snapToGrid w:val="0"/>
        <w:spacing w:line="580" w:lineRule="exact"/>
        <w:ind w:firstLine="624"/>
        <w:rPr>
          <w:rFonts w:hint="eastAsia" w:ascii="Times New Roman" w:hAnsi="Times New Roman" w:eastAsia="仿宋_GB2312"/>
          <w:snapToGrid w:val="0"/>
          <w:spacing w:val="-4"/>
          <w:kern w:val="0"/>
          <w:sz w:val="32"/>
          <w:szCs w:val="32"/>
        </w:rPr>
      </w:pPr>
      <w:r>
        <w:rPr>
          <w:rFonts w:hint="eastAsia" w:ascii="Times New Roman" w:hAnsi="Times New Roman" w:eastAsia="仿宋_GB2312"/>
          <w:snapToGrid w:val="0"/>
          <w:spacing w:val="-4"/>
          <w:kern w:val="0"/>
          <w:sz w:val="32"/>
          <w:szCs w:val="32"/>
        </w:rPr>
        <w:t xml:space="preserve">3．人才项目进度管理尚需要进一步加强。 </w:t>
      </w:r>
    </w:p>
    <w:p>
      <w:pPr>
        <w:pStyle w:val="4"/>
        <w:overflowPunct w:val="0"/>
        <w:adjustRightInd w:val="0"/>
        <w:snapToGrid w:val="0"/>
        <w:spacing w:line="580" w:lineRule="exact"/>
        <w:ind w:firstLine="624"/>
        <w:rPr>
          <w:rFonts w:hint="eastAsia" w:ascii="Times New Roman" w:hAnsi="Times New Roman" w:eastAsia="楷体_GB2312"/>
          <w:snapToGrid w:val="0"/>
          <w:spacing w:val="-4"/>
          <w:kern w:val="0"/>
          <w:sz w:val="32"/>
          <w:szCs w:val="32"/>
        </w:rPr>
      </w:pPr>
      <w:r>
        <w:rPr>
          <w:rFonts w:hint="eastAsia" w:ascii="Times New Roman" w:hAnsi="Times New Roman" w:eastAsia="楷体_GB2312"/>
          <w:snapToGrid w:val="0"/>
          <w:spacing w:val="-4"/>
          <w:kern w:val="0"/>
          <w:sz w:val="32"/>
          <w:szCs w:val="32"/>
        </w:rPr>
        <w:t>（二）政策执行与效果方面存在的问题</w:t>
      </w:r>
    </w:p>
    <w:p>
      <w:pPr>
        <w:pStyle w:val="4"/>
        <w:overflowPunct w:val="0"/>
        <w:adjustRightInd w:val="0"/>
        <w:snapToGrid w:val="0"/>
        <w:spacing w:line="580" w:lineRule="exact"/>
        <w:ind w:firstLine="624"/>
        <w:rPr>
          <w:rFonts w:hint="eastAsia" w:ascii="Times New Roman" w:hAnsi="Times New Roman" w:eastAsia="仿宋_GB2312"/>
          <w:snapToGrid w:val="0"/>
          <w:spacing w:val="-4"/>
          <w:kern w:val="0"/>
          <w:sz w:val="32"/>
          <w:szCs w:val="32"/>
        </w:rPr>
      </w:pPr>
      <w:r>
        <w:rPr>
          <w:rFonts w:hint="eastAsia" w:ascii="Times New Roman" w:hAnsi="Times New Roman" w:eastAsia="仿宋_GB2312"/>
          <w:snapToGrid w:val="0"/>
          <w:spacing w:val="-4"/>
          <w:kern w:val="0"/>
          <w:sz w:val="32"/>
          <w:szCs w:val="32"/>
        </w:rPr>
        <w:t>1．部分县级市（区）人才企业产业聚焦不足，地区新兴产业优势不明显。</w:t>
      </w:r>
    </w:p>
    <w:p>
      <w:pPr>
        <w:pStyle w:val="4"/>
        <w:overflowPunct w:val="0"/>
        <w:adjustRightInd w:val="0"/>
        <w:snapToGrid w:val="0"/>
        <w:spacing w:line="580" w:lineRule="exact"/>
        <w:ind w:firstLine="624"/>
        <w:rPr>
          <w:rFonts w:hint="eastAsia" w:ascii="Times New Roman" w:hAnsi="Times New Roman" w:eastAsia="仿宋_GB2312"/>
          <w:snapToGrid w:val="0"/>
          <w:spacing w:val="-4"/>
          <w:kern w:val="0"/>
          <w:sz w:val="32"/>
          <w:szCs w:val="32"/>
        </w:rPr>
      </w:pPr>
      <w:r>
        <w:rPr>
          <w:rFonts w:hint="eastAsia" w:ascii="Times New Roman" w:hAnsi="Times New Roman" w:eastAsia="仿宋_GB2312"/>
          <w:snapToGrid w:val="0"/>
          <w:spacing w:val="-4"/>
          <w:kern w:val="0"/>
          <w:sz w:val="32"/>
          <w:szCs w:val="32"/>
        </w:rPr>
        <w:t>2．县级市（区）对区域重点产业人才政策缺少差异化的奖励扶持政策。</w:t>
      </w:r>
    </w:p>
    <w:p>
      <w:pPr>
        <w:pStyle w:val="4"/>
        <w:overflowPunct w:val="0"/>
        <w:adjustRightInd w:val="0"/>
        <w:snapToGrid w:val="0"/>
        <w:spacing w:line="580" w:lineRule="exact"/>
        <w:ind w:firstLine="624"/>
        <w:rPr>
          <w:rFonts w:hint="eastAsia" w:ascii="Times New Roman" w:hAnsi="Times New Roman" w:eastAsia="仿宋_GB2312"/>
          <w:snapToGrid w:val="0"/>
          <w:spacing w:val="-4"/>
          <w:kern w:val="0"/>
          <w:sz w:val="32"/>
          <w:szCs w:val="32"/>
        </w:rPr>
      </w:pPr>
      <w:r>
        <w:rPr>
          <w:rFonts w:hint="eastAsia" w:ascii="Times New Roman" w:hAnsi="Times New Roman" w:eastAsia="仿宋_GB2312"/>
          <w:snapToGrid w:val="0"/>
          <w:spacing w:val="-4"/>
          <w:kern w:val="0"/>
          <w:sz w:val="32"/>
          <w:szCs w:val="32"/>
        </w:rPr>
        <w:t>3．调研的创业企业整体发展一般，发展差异化较为明显。</w:t>
      </w:r>
    </w:p>
    <w:p>
      <w:pPr>
        <w:pStyle w:val="4"/>
        <w:overflowPunct w:val="0"/>
        <w:adjustRightInd w:val="0"/>
        <w:snapToGrid w:val="0"/>
        <w:spacing w:line="580" w:lineRule="exact"/>
        <w:ind w:firstLine="624"/>
        <w:rPr>
          <w:rFonts w:hint="eastAsia" w:ascii="Times New Roman" w:hAnsi="Times New Roman" w:eastAsia="黑体"/>
          <w:snapToGrid w:val="0"/>
          <w:spacing w:val="-4"/>
          <w:kern w:val="0"/>
          <w:sz w:val="32"/>
          <w:szCs w:val="32"/>
        </w:rPr>
      </w:pPr>
      <w:r>
        <w:rPr>
          <w:rFonts w:hint="eastAsia" w:ascii="Times New Roman" w:hAnsi="Times New Roman" w:eastAsia="黑体"/>
          <w:snapToGrid w:val="0"/>
          <w:spacing w:val="-4"/>
          <w:kern w:val="0"/>
          <w:sz w:val="32"/>
          <w:szCs w:val="32"/>
        </w:rPr>
        <w:t>五、相关建议</w:t>
      </w:r>
    </w:p>
    <w:p>
      <w:pPr>
        <w:pStyle w:val="4"/>
        <w:overflowPunct w:val="0"/>
        <w:adjustRightInd w:val="0"/>
        <w:snapToGrid w:val="0"/>
        <w:spacing w:line="580" w:lineRule="exact"/>
        <w:ind w:firstLine="624"/>
        <w:rPr>
          <w:rFonts w:hint="eastAsia" w:ascii="Times New Roman" w:hAnsi="Times New Roman" w:eastAsia="楷体_GB2312"/>
          <w:snapToGrid w:val="0"/>
          <w:spacing w:val="-4"/>
          <w:kern w:val="0"/>
          <w:sz w:val="32"/>
          <w:szCs w:val="32"/>
        </w:rPr>
      </w:pPr>
      <w:r>
        <w:rPr>
          <w:rFonts w:hint="eastAsia" w:ascii="Times New Roman" w:hAnsi="Times New Roman" w:eastAsia="楷体_GB2312"/>
          <w:snapToGrid w:val="0"/>
          <w:spacing w:val="-4"/>
          <w:kern w:val="0"/>
          <w:sz w:val="32"/>
          <w:szCs w:val="32"/>
        </w:rPr>
        <w:t>（一）项目管理流程方面的建议</w:t>
      </w:r>
    </w:p>
    <w:p>
      <w:pPr>
        <w:pStyle w:val="4"/>
        <w:overflowPunct w:val="0"/>
        <w:adjustRightInd w:val="0"/>
        <w:snapToGrid w:val="0"/>
        <w:spacing w:line="580" w:lineRule="exact"/>
        <w:ind w:firstLine="624"/>
        <w:rPr>
          <w:rFonts w:hint="eastAsia" w:ascii="Times New Roman" w:hAnsi="Times New Roman" w:eastAsia="仿宋_GB2312"/>
          <w:snapToGrid w:val="0"/>
          <w:spacing w:val="-4"/>
          <w:kern w:val="0"/>
          <w:sz w:val="32"/>
          <w:szCs w:val="32"/>
        </w:rPr>
      </w:pPr>
      <w:r>
        <w:rPr>
          <w:rFonts w:hint="eastAsia" w:ascii="Times New Roman" w:hAnsi="Times New Roman" w:eastAsia="仿宋_GB2312"/>
          <w:snapToGrid w:val="0"/>
          <w:spacing w:val="-4"/>
          <w:kern w:val="0"/>
          <w:sz w:val="32"/>
          <w:szCs w:val="32"/>
        </w:rPr>
        <w:t>1．优化人才项目评审流程，注重评选透明度，可考虑增加县级市（区）人才直推机制。</w:t>
      </w:r>
    </w:p>
    <w:p>
      <w:pPr>
        <w:pStyle w:val="4"/>
        <w:overflowPunct w:val="0"/>
        <w:adjustRightInd w:val="0"/>
        <w:snapToGrid w:val="0"/>
        <w:spacing w:line="580" w:lineRule="exact"/>
        <w:ind w:firstLine="624"/>
        <w:rPr>
          <w:rFonts w:hint="eastAsia" w:ascii="Times New Roman" w:hAnsi="Times New Roman" w:eastAsia="仿宋_GB2312"/>
          <w:snapToGrid w:val="0"/>
          <w:spacing w:val="-4"/>
          <w:kern w:val="0"/>
          <w:sz w:val="32"/>
          <w:szCs w:val="32"/>
        </w:rPr>
      </w:pPr>
      <w:r>
        <w:rPr>
          <w:rFonts w:hint="eastAsia" w:ascii="Times New Roman" w:hAnsi="Times New Roman" w:eastAsia="仿宋_GB2312"/>
          <w:snapToGrid w:val="0"/>
          <w:spacing w:val="-4"/>
          <w:kern w:val="0"/>
          <w:sz w:val="32"/>
          <w:szCs w:val="32"/>
        </w:rPr>
        <w:t>2．优化人才项目验收标准，适当提升经济指标完成值的考核权重。</w:t>
      </w:r>
    </w:p>
    <w:p>
      <w:pPr>
        <w:pStyle w:val="4"/>
        <w:overflowPunct w:val="0"/>
        <w:adjustRightInd w:val="0"/>
        <w:snapToGrid w:val="0"/>
        <w:spacing w:line="580" w:lineRule="exact"/>
        <w:ind w:firstLine="624"/>
        <w:rPr>
          <w:rFonts w:hint="eastAsia" w:ascii="Times New Roman" w:hAnsi="Times New Roman" w:eastAsia="仿宋_GB2312"/>
          <w:snapToGrid w:val="0"/>
          <w:spacing w:val="-4"/>
          <w:kern w:val="0"/>
          <w:sz w:val="32"/>
          <w:szCs w:val="32"/>
        </w:rPr>
      </w:pPr>
      <w:r>
        <w:rPr>
          <w:rFonts w:hint="eastAsia" w:ascii="Times New Roman" w:hAnsi="Times New Roman" w:eastAsia="仿宋_GB2312"/>
          <w:snapToGrid w:val="0"/>
          <w:spacing w:val="-4"/>
          <w:kern w:val="0"/>
          <w:sz w:val="32"/>
          <w:szCs w:val="32"/>
        </w:rPr>
        <w:t>3．加强区域重点产业人才专项的申报与考核。</w:t>
      </w:r>
    </w:p>
    <w:p>
      <w:pPr>
        <w:pStyle w:val="4"/>
        <w:overflowPunct w:val="0"/>
        <w:adjustRightInd w:val="0"/>
        <w:snapToGrid w:val="0"/>
        <w:spacing w:line="580" w:lineRule="exact"/>
        <w:ind w:firstLine="624"/>
        <w:rPr>
          <w:rFonts w:hint="eastAsia" w:ascii="Times New Roman" w:hAnsi="Times New Roman" w:eastAsia="仿宋_GB2312"/>
          <w:snapToGrid w:val="0"/>
          <w:spacing w:val="-4"/>
          <w:kern w:val="0"/>
          <w:sz w:val="32"/>
          <w:szCs w:val="32"/>
        </w:rPr>
      </w:pPr>
      <w:r>
        <w:rPr>
          <w:rFonts w:hint="eastAsia" w:ascii="Times New Roman" w:hAnsi="Times New Roman" w:eastAsia="仿宋_GB2312"/>
          <w:snapToGrid w:val="0"/>
          <w:spacing w:val="-4"/>
          <w:kern w:val="0"/>
          <w:sz w:val="32"/>
          <w:szCs w:val="32"/>
        </w:rPr>
        <w:t>4．</w:t>
      </w:r>
      <w:r>
        <w:rPr>
          <w:rFonts w:hint="eastAsia" w:ascii="Times New Roman" w:hAnsi="Times New Roman" w:eastAsia="仿宋_GB2312"/>
          <w:snapToGrid w:val="0"/>
          <w:spacing w:val="-2"/>
          <w:kern w:val="0"/>
          <w:sz w:val="32"/>
          <w:szCs w:val="32"/>
        </w:rPr>
        <w:t>进一步加强对人才项目的过程及后续管理，建立健全人才政策评价机制。</w:t>
      </w:r>
    </w:p>
    <w:p>
      <w:pPr>
        <w:pStyle w:val="4"/>
        <w:overflowPunct w:val="0"/>
        <w:adjustRightInd w:val="0"/>
        <w:snapToGrid w:val="0"/>
        <w:spacing w:line="580" w:lineRule="exact"/>
        <w:ind w:firstLine="624"/>
        <w:rPr>
          <w:rFonts w:hint="eastAsia" w:ascii="Times New Roman" w:hAnsi="Times New Roman" w:eastAsia="楷体_GB2312"/>
          <w:snapToGrid w:val="0"/>
          <w:spacing w:val="-4"/>
          <w:kern w:val="0"/>
          <w:sz w:val="32"/>
          <w:szCs w:val="32"/>
        </w:rPr>
      </w:pPr>
      <w:r>
        <w:rPr>
          <w:rFonts w:hint="eastAsia" w:ascii="Times New Roman" w:hAnsi="Times New Roman" w:eastAsia="楷体_GB2312"/>
          <w:snapToGrid w:val="0"/>
          <w:spacing w:val="-4"/>
          <w:kern w:val="0"/>
          <w:sz w:val="32"/>
          <w:szCs w:val="32"/>
        </w:rPr>
        <w:t>（二）政策制定与效果提升方面的建议</w:t>
      </w:r>
    </w:p>
    <w:p>
      <w:pPr>
        <w:pStyle w:val="4"/>
        <w:overflowPunct w:val="0"/>
        <w:adjustRightInd w:val="0"/>
        <w:snapToGrid w:val="0"/>
        <w:spacing w:line="580" w:lineRule="exact"/>
        <w:ind w:firstLine="624"/>
        <w:rPr>
          <w:rFonts w:hint="eastAsia" w:ascii="Times New Roman" w:hAnsi="Times New Roman" w:eastAsia="仿宋_GB2312"/>
          <w:snapToGrid w:val="0"/>
          <w:spacing w:val="-4"/>
          <w:kern w:val="0"/>
          <w:sz w:val="32"/>
          <w:szCs w:val="32"/>
        </w:rPr>
      </w:pPr>
      <w:r>
        <w:rPr>
          <w:rFonts w:hint="eastAsia" w:ascii="Times New Roman" w:hAnsi="Times New Roman" w:eastAsia="仿宋_GB2312"/>
          <w:snapToGrid w:val="0"/>
          <w:spacing w:val="-4"/>
          <w:kern w:val="0"/>
          <w:sz w:val="32"/>
          <w:szCs w:val="32"/>
        </w:rPr>
        <w:t>1．加大区域重点产业人才专项的扶持力度，各县级市（区）可制定差异化的人才政策。</w:t>
      </w:r>
    </w:p>
    <w:p>
      <w:pPr>
        <w:pStyle w:val="4"/>
        <w:overflowPunct w:val="0"/>
        <w:adjustRightInd w:val="0"/>
        <w:snapToGrid w:val="0"/>
        <w:spacing w:line="580" w:lineRule="exact"/>
        <w:ind w:firstLine="624"/>
        <w:rPr>
          <w:rFonts w:hint="eastAsia" w:ascii="Times New Roman" w:hAnsi="Times New Roman" w:eastAsia="仿宋_GB2312"/>
          <w:snapToGrid w:val="0"/>
          <w:spacing w:val="-4"/>
          <w:kern w:val="0"/>
          <w:sz w:val="32"/>
          <w:szCs w:val="32"/>
        </w:rPr>
      </w:pPr>
      <w:r>
        <w:rPr>
          <w:rFonts w:hint="eastAsia" w:ascii="Times New Roman" w:hAnsi="Times New Roman" w:eastAsia="仿宋_GB2312"/>
          <w:snapToGrid w:val="0"/>
          <w:spacing w:val="-4"/>
          <w:kern w:val="0"/>
          <w:sz w:val="32"/>
          <w:szCs w:val="32"/>
        </w:rPr>
        <w:t>2．结合苏州市重点新兴产业布局，适当增设或调整个别县级市（区）的区域重点产业人才方向，使其适应本地区的产业布局。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仿宋体">
    <w:altName w:val="微软雅黑"/>
    <w:panose1 w:val="0201060901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751FB"/>
    <w:rsid w:val="1B075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文鼎CS仿宋体" w:cs="Times New Roman"/>
      <w:spacing w:val="-4"/>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eastAsia="宋体"/>
      <w:spacing w:val="0"/>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2021-12-14T03:06:00Z</dcterms:created>
  <dc:creator>松鼠喵huan</dc:creator>
  <cp:lastModifiedBy>松鼠喵huan</cp:lastModifiedBy>
  <dcterms:modified xsi:type="dcterms:W3CDTF">2021-12-14T03:06:33Z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4EA4B42D33D9483C8498EE5962256C1E</vt:lpwstr>
  </property>
</Properties>
</file>