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80" w:lineRule="exact"/>
        <w:jc w:val="left"/>
        <w:rPr>
          <w:rFonts w:hint="eastAsia" w:ascii="黑体" w:hAnsi="黑体" w:eastAsia="黑体"/>
          <w:snapToGrid w:val="0"/>
          <w:kern w:val="0"/>
          <w:szCs w:val="32"/>
        </w:rPr>
      </w:pPr>
      <w:r>
        <w:rPr>
          <w:rFonts w:hint="eastAsia" w:ascii="黑体" w:hAnsi="黑体" w:eastAsia="黑体"/>
          <w:snapToGrid w:val="0"/>
          <w:kern w:val="0"/>
          <w:szCs w:val="32"/>
        </w:rPr>
        <w:t>附件2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eastAsia="方正小标宋简体"/>
          <w:bCs/>
          <w:snapToGrid w:val="0"/>
          <w:kern w:val="0"/>
          <w:sz w:val="44"/>
          <w:szCs w:val="44"/>
        </w:rPr>
      </w:pPr>
      <w:r>
        <w:rPr>
          <w:rFonts w:hint="eastAsia" w:eastAsia="方正小标宋简体"/>
          <w:snapToGrid w:val="0"/>
          <w:kern w:val="0"/>
          <w:sz w:val="44"/>
          <w:szCs w:val="44"/>
        </w:rPr>
        <w:t>苏州市2020年度科创专项资金（科技人才计划）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eastAsia="方正小标宋简体"/>
          <w:snapToGrid w:val="0"/>
          <w:kern w:val="0"/>
          <w:sz w:val="44"/>
          <w:szCs w:val="44"/>
        </w:rPr>
      </w:pPr>
      <w:r>
        <w:rPr>
          <w:rFonts w:hint="eastAsia" w:eastAsia="方正小标宋简体"/>
          <w:snapToGrid w:val="0"/>
          <w:kern w:val="0"/>
          <w:sz w:val="44"/>
          <w:szCs w:val="44"/>
        </w:rPr>
        <w:t>绩效评价综合评分表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eastAsia="方正小标宋简体"/>
          <w:bCs/>
          <w:snapToGrid w:val="0"/>
          <w:kern w:val="0"/>
          <w:sz w:val="44"/>
          <w:szCs w:val="44"/>
        </w:rPr>
      </w:pPr>
    </w:p>
    <w:tbl>
      <w:tblPr>
        <w:tblStyle w:val="4"/>
        <w:tblW w:w="4927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3"/>
        <w:gridCol w:w="842"/>
        <w:gridCol w:w="2999"/>
        <w:gridCol w:w="554"/>
        <w:gridCol w:w="992"/>
        <w:gridCol w:w="1655"/>
        <w:gridCol w:w="8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tblHeader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eastAsia="黑体"/>
                <w:snapToGrid w:val="0"/>
                <w:kern w:val="0"/>
                <w:sz w:val="24"/>
              </w:rPr>
            </w:pPr>
            <w:r>
              <w:rPr>
                <w:rFonts w:hint="eastAsia" w:eastAsia="黑体"/>
                <w:snapToGrid w:val="0"/>
                <w:kern w:val="0"/>
                <w:sz w:val="24"/>
              </w:rPr>
              <w:t>一级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eastAsia="黑体"/>
                <w:snapToGrid w:val="0"/>
                <w:kern w:val="0"/>
                <w:sz w:val="24"/>
              </w:rPr>
            </w:pPr>
            <w:r>
              <w:rPr>
                <w:rFonts w:hint="eastAsia" w:eastAsia="黑体"/>
                <w:snapToGrid w:val="0"/>
                <w:kern w:val="0"/>
                <w:sz w:val="24"/>
              </w:rPr>
              <w:t>指标</w:t>
            </w:r>
          </w:p>
        </w:tc>
        <w:tc>
          <w:tcPr>
            <w:tcW w:w="842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eastAsia="黑体"/>
                <w:snapToGrid w:val="0"/>
                <w:kern w:val="0"/>
                <w:sz w:val="24"/>
              </w:rPr>
            </w:pPr>
            <w:r>
              <w:rPr>
                <w:rFonts w:hint="eastAsia" w:eastAsia="黑体"/>
                <w:snapToGrid w:val="0"/>
                <w:kern w:val="0"/>
                <w:sz w:val="24"/>
              </w:rPr>
              <w:t>二级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eastAsia="黑体"/>
                <w:snapToGrid w:val="0"/>
                <w:kern w:val="0"/>
                <w:sz w:val="24"/>
              </w:rPr>
            </w:pPr>
            <w:r>
              <w:rPr>
                <w:rFonts w:hint="eastAsia" w:eastAsia="黑体"/>
                <w:snapToGrid w:val="0"/>
                <w:kern w:val="0"/>
                <w:sz w:val="24"/>
              </w:rPr>
              <w:t>指标</w:t>
            </w: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eastAsia="黑体"/>
                <w:snapToGrid w:val="0"/>
                <w:kern w:val="0"/>
                <w:sz w:val="24"/>
              </w:rPr>
            </w:pPr>
            <w:r>
              <w:rPr>
                <w:rFonts w:hint="eastAsia" w:eastAsia="黑体"/>
                <w:snapToGrid w:val="0"/>
                <w:kern w:val="0"/>
                <w:sz w:val="24"/>
              </w:rPr>
              <w:t>三级指标</w:t>
            </w:r>
          </w:p>
        </w:tc>
        <w:tc>
          <w:tcPr>
            <w:tcW w:w="554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eastAsia="黑体"/>
                <w:snapToGrid w:val="0"/>
                <w:kern w:val="0"/>
                <w:sz w:val="24"/>
              </w:rPr>
            </w:pPr>
            <w:r>
              <w:rPr>
                <w:rFonts w:hint="eastAsia" w:eastAsia="黑体"/>
                <w:snapToGrid w:val="0"/>
                <w:kern w:val="0"/>
                <w:sz w:val="24"/>
              </w:rPr>
              <w:t>权重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eastAsia="黑体"/>
                <w:snapToGrid w:val="0"/>
                <w:kern w:val="0"/>
                <w:sz w:val="24"/>
              </w:rPr>
            </w:pPr>
            <w:r>
              <w:rPr>
                <w:rFonts w:hint="eastAsia" w:eastAsia="黑体"/>
                <w:snapToGrid w:val="0"/>
                <w:kern w:val="0"/>
                <w:sz w:val="24"/>
              </w:rPr>
              <w:t>标杆值</w:t>
            </w:r>
          </w:p>
        </w:tc>
        <w:tc>
          <w:tcPr>
            <w:tcW w:w="165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eastAsia="黑体"/>
                <w:snapToGrid w:val="0"/>
                <w:kern w:val="0"/>
                <w:sz w:val="24"/>
              </w:rPr>
            </w:pPr>
            <w:r>
              <w:rPr>
                <w:rFonts w:hint="eastAsia" w:eastAsia="黑体"/>
                <w:snapToGrid w:val="0"/>
                <w:kern w:val="0"/>
                <w:sz w:val="24"/>
              </w:rPr>
              <w:t>业绩值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eastAsia="黑体"/>
                <w:snapToGrid w:val="0"/>
                <w:kern w:val="0"/>
                <w:sz w:val="24"/>
              </w:rPr>
            </w:pPr>
            <w:r>
              <w:rPr>
                <w:rFonts w:hint="eastAsia" w:eastAsia="黑体"/>
                <w:snapToGrid w:val="0"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restart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b/>
                <w:snapToGrid w:val="0"/>
                <w:kern w:val="0"/>
                <w:sz w:val="24"/>
              </w:rPr>
              <w:t>A政策决策</w:t>
            </w:r>
          </w:p>
        </w:tc>
        <w:tc>
          <w:tcPr>
            <w:tcW w:w="842" w:type="dxa"/>
            <w:vMerge w:val="restart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b/>
                <w:snapToGrid w:val="0"/>
                <w:kern w:val="0"/>
                <w:sz w:val="24"/>
              </w:rPr>
              <w:t>A1政策制定</w:t>
            </w: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A11依据充分性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充分</w:t>
            </w:r>
          </w:p>
        </w:tc>
        <w:tc>
          <w:tcPr>
            <w:tcW w:w="165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充分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A12政策需求充分性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充分</w:t>
            </w:r>
          </w:p>
        </w:tc>
        <w:tc>
          <w:tcPr>
            <w:tcW w:w="165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比较充分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1.50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A13政策制定规范性</w:t>
            </w:r>
          </w:p>
        </w:tc>
        <w:tc>
          <w:tcPr>
            <w:tcW w:w="554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规范</w:t>
            </w:r>
          </w:p>
        </w:tc>
        <w:tc>
          <w:tcPr>
            <w:tcW w:w="165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规范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1.67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b/>
                <w:snapToGrid w:val="0"/>
                <w:kern w:val="0"/>
                <w:sz w:val="24"/>
              </w:rPr>
              <w:t>A2政策目标</w:t>
            </w: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A21目标的合理性</w:t>
            </w:r>
          </w:p>
        </w:tc>
        <w:tc>
          <w:tcPr>
            <w:tcW w:w="554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合理</w:t>
            </w:r>
          </w:p>
        </w:tc>
        <w:tc>
          <w:tcPr>
            <w:tcW w:w="165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基本合理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3.50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restart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b/>
                <w:snapToGrid w:val="0"/>
                <w:kern w:val="0"/>
                <w:sz w:val="24"/>
              </w:rPr>
              <w:t>B政策执行</w:t>
            </w:r>
          </w:p>
        </w:tc>
        <w:tc>
          <w:tcPr>
            <w:tcW w:w="842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b/>
                <w:snapToGrid w:val="0"/>
                <w:kern w:val="0"/>
                <w:sz w:val="24"/>
              </w:rPr>
              <w:t>B1投入管理</w:t>
            </w:r>
          </w:p>
        </w:tc>
        <w:tc>
          <w:tcPr>
            <w:tcW w:w="2999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B11预算执行率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100%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100%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5.00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restart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b/>
                <w:snapToGrid w:val="0"/>
                <w:kern w:val="0"/>
                <w:sz w:val="24"/>
              </w:rPr>
              <w:t>B2财务管理</w:t>
            </w: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B21财务管理制度健全性</w:t>
            </w:r>
          </w:p>
        </w:tc>
        <w:tc>
          <w:tcPr>
            <w:tcW w:w="554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健全</w:t>
            </w:r>
          </w:p>
        </w:tc>
        <w:tc>
          <w:tcPr>
            <w:tcW w:w="165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基本健全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1.50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B22资金使用合规性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合规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合规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3.00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restart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b/>
                <w:snapToGrid w:val="0"/>
                <w:kern w:val="0"/>
                <w:sz w:val="24"/>
              </w:rPr>
              <w:t>B3政策实施</w:t>
            </w: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B31组织管理健全性</w:t>
            </w:r>
          </w:p>
        </w:tc>
        <w:tc>
          <w:tcPr>
            <w:tcW w:w="554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健全</w:t>
            </w:r>
          </w:p>
        </w:tc>
        <w:tc>
          <w:tcPr>
            <w:tcW w:w="165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总体健全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1.50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B32项目实施、专项资金拨付及监管制度的健全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健全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基本健全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3.00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continue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B33制度执行有效性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有效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总体有效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4.00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restart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b/>
                <w:snapToGrid w:val="0"/>
                <w:kern w:val="0"/>
                <w:sz w:val="24"/>
              </w:rPr>
              <w:t>C产出和效果</w:t>
            </w:r>
          </w:p>
        </w:tc>
        <w:tc>
          <w:tcPr>
            <w:tcW w:w="842" w:type="dxa"/>
            <w:vMerge w:val="restart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b/>
                <w:snapToGrid w:val="0"/>
                <w:kern w:val="0"/>
                <w:sz w:val="24"/>
              </w:rPr>
              <w:t>C1产出</w:t>
            </w: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C11本年度新增重大创新团队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100%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3个+3个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（顶尖团队）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C12本年度新增创业领军人才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100%</w:t>
            </w:r>
          </w:p>
        </w:tc>
        <w:tc>
          <w:tcPr>
            <w:tcW w:w="165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277个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5.00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C13本年度新增创新领军人才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100%</w:t>
            </w:r>
          </w:p>
        </w:tc>
        <w:tc>
          <w:tcPr>
            <w:tcW w:w="165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54个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restart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b/>
                <w:snapToGrid w:val="0"/>
                <w:kern w:val="0"/>
                <w:sz w:val="24"/>
              </w:rPr>
              <w:t>C产出和效果</w:t>
            </w:r>
          </w:p>
        </w:tc>
        <w:tc>
          <w:tcPr>
            <w:tcW w:w="842" w:type="dxa"/>
            <w:vMerge w:val="restart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b/>
                <w:snapToGrid w:val="0"/>
                <w:kern w:val="0"/>
                <w:sz w:val="24"/>
              </w:rPr>
              <w:t>C1产出</w:t>
            </w: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C14人才项目实际落实率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95%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87.78%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1.24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continue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C15申请企业增长率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年均增长15%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年均增长21.13%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continue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C16市级人才企业省级及国家级认定入选率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60%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73%、65%、77%、74%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continue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C17人才项目验收通过率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含结题项目不低于90%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88.37%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3.64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continue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C18人才项目经济指标考核目标完成度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70%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spacing w:val="-12"/>
                <w:w w:val="98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spacing w:val="-12"/>
                <w:w w:val="98"/>
                <w:kern w:val="0"/>
                <w:sz w:val="24"/>
              </w:rPr>
              <w:t>部分项目在投资、收入、税收指标实现程度较低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1.37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continue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C19创新类人才研发情况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提升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实现程度80%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1.6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continue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C110创业人才企业累计存活率（正常运营率）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85%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87.6%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restart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b/>
                <w:snapToGrid w:val="0"/>
                <w:kern w:val="0"/>
                <w:sz w:val="24"/>
              </w:rPr>
              <w:t>C2效果</w:t>
            </w: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C21省级以上科研项目人才企业承担率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占比呈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上升趋势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基本持平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1.20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C22人才企业累计高企占比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50%</w:t>
            </w:r>
          </w:p>
        </w:tc>
        <w:tc>
          <w:tcPr>
            <w:tcW w:w="165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44.30%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0.86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C23省级以上人才企业总量占比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占比保持及提升</w:t>
            </w:r>
          </w:p>
        </w:tc>
        <w:tc>
          <w:tcPr>
            <w:tcW w:w="165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从2018年的18.87%上升至2020年的21.7%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continue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C24人才企业产业化集聚与匹配度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匹配</w:t>
            </w:r>
          </w:p>
        </w:tc>
        <w:tc>
          <w:tcPr>
            <w:tcW w:w="165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按实现程度80%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3.20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C25专项区域产业化集聚区人才企业的引进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3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集聚、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发展</w:t>
            </w:r>
          </w:p>
        </w:tc>
        <w:tc>
          <w:tcPr>
            <w:tcW w:w="165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产业集聚度不够高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1.80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continue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C26人才企业头部企业占比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超过50%</w:t>
            </w:r>
          </w:p>
        </w:tc>
        <w:tc>
          <w:tcPr>
            <w:tcW w:w="165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44.83%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1.65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continue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C271创业人才企业发展水平——企业营业收入增长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呈增长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趋势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40.25%企业2020年收入下降或2020年收入低于100万元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C272创业人才企业发展水平——企业税收贡献增长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呈增长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趋势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42.14%企业2020年税收下降或太低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1.58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restart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b/>
                <w:snapToGrid w:val="0"/>
                <w:kern w:val="0"/>
                <w:sz w:val="24"/>
              </w:rPr>
              <w:t>C产出和效果</w:t>
            </w:r>
          </w:p>
        </w:tc>
        <w:tc>
          <w:tcPr>
            <w:tcW w:w="842" w:type="dxa"/>
            <w:vMerge w:val="restart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b/>
                <w:snapToGrid w:val="0"/>
                <w:kern w:val="0"/>
                <w:sz w:val="24"/>
              </w:rPr>
              <w:t>C2效果</w:t>
            </w: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C273创业人才企业发展水平——企业人员规模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1.5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呈增长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趋势</w:t>
            </w:r>
          </w:p>
        </w:tc>
        <w:tc>
          <w:tcPr>
            <w:tcW w:w="165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27.04%企业2020年人员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下降或太低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1.09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continue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C274创业人才企业发展水平——企业专利申请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1.5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呈增长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趋势</w:t>
            </w:r>
          </w:p>
        </w:tc>
        <w:tc>
          <w:tcPr>
            <w:tcW w:w="165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10.69%企业2020年无专利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1.34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C275创业人才企业发展水平——研发投入增长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呈增长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趋势</w:t>
            </w:r>
          </w:p>
        </w:tc>
        <w:tc>
          <w:tcPr>
            <w:tcW w:w="165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27.67%企业2020年研发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投入过低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1.45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C276创业人才企业发展水平——企业资本融资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有增长的企业占比不低于25%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39.62%企业2020年度实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收资本（含资本公积）有增长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C28创新人才流动率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不高于15%</w:t>
            </w:r>
          </w:p>
        </w:tc>
        <w:tc>
          <w:tcPr>
            <w:tcW w:w="165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11.39%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restart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b/>
                <w:snapToGrid w:val="0"/>
                <w:kern w:val="0"/>
                <w:sz w:val="24"/>
              </w:rPr>
              <w:t>C3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b/>
                <w:snapToGrid w:val="0"/>
                <w:kern w:val="0"/>
                <w:sz w:val="24"/>
              </w:rPr>
              <w:t>满意度</w:t>
            </w: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C31企业满意度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3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90%</w:t>
            </w:r>
          </w:p>
        </w:tc>
        <w:tc>
          <w:tcPr>
            <w:tcW w:w="165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94.04%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3.00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C32人才满意度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3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90%</w:t>
            </w:r>
          </w:p>
        </w:tc>
        <w:tc>
          <w:tcPr>
            <w:tcW w:w="165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95.55%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3.00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restart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b/>
                <w:snapToGrid w:val="0"/>
                <w:kern w:val="0"/>
                <w:sz w:val="24"/>
              </w:rPr>
              <w:t>D政策效果可持续性</w:t>
            </w:r>
          </w:p>
        </w:tc>
        <w:tc>
          <w:tcPr>
            <w:tcW w:w="842" w:type="dxa"/>
            <w:vMerge w:val="restart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b/>
                <w:snapToGrid w:val="0"/>
                <w:kern w:val="0"/>
                <w:sz w:val="24"/>
              </w:rPr>
              <w:t>D1综合影响</w:t>
            </w: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D11政策的知晓度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知晓</w:t>
            </w:r>
          </w:p>
        </w:tc>
        <w:tc>
          <w:tcPr>
            <w:tcW w:w="165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部分调研企业对政策不熟悉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0.80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D12人才政策配套（环境营造）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完备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部分调研企业对流程不熟悉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1.60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restart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b/>
                <w:snapToGrid w:val="0"/>
                <w:kern w:val="0"/>
                <w:sz w:val="24"/>
              </w:rPr>
              <w:t>D2长效管理</w:t>
            </w: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D21人才企业的后续管理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建立、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完善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后续管理与评估工作较少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3.20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</w:p>
        </w:tc>
        <w:tc>
          <w:tcPr>
            <w:tcW w:w="842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</w:p>
        </w:tc>
        <w:tc>
          <w:tcPr>
            <w:tcW w:w="2999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D22政策评估机制情况</w:t>
            </w:r>
            <w:bookmarkStart w:id="0" w:name="_GoBack"/>
            <w:bookmarkEnd w:id="0"/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建立、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完善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评估结果的运用程度一般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kern w:val="0"/>
                <w:sz w:val="24"/>
              </w:rPr>
              <w:t>2.40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4664" w:type="dxa"/>
            <w:gridSpan w:val="3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snapToGrid w:val="0"/>
                <w:kern w:val="0"/>
                <w:sz w:val="24"/>
              </w:rPr>
              <w:t>合计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snapToGrid w:val="0"/>
                <w:kern w:val="0"/>
                <w:sz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snapToGrid w:val="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int="eastAsia" w:eastAsia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snapToGrid w:val="0"/>
                <w:kern w:val="0"/>
                <w:sz w:val="24"/>
              </w:rPr>
              <w:t>86.09</w:t>
            </w:r>
          </w:p>
        </w:tc>
      </w:tr>
    </w:tbl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hint="eastAsia" w:eastAsia="仿宋_GB2312"/>
          <w:snapToGrid w:val="0"/>
          <w:kern w:val="0"/>
          <w:szCs w:val="32"/>
        </w:rPr>
      </w:pPr>
    </w:p>
    <w:p>
      <w:pPr>
        <w:overflowPunct w:val="0"/>
        <w:adjustRightInd w:val="0"/>
        <w:snapToGrid w:val="0"/>
        <w:spacing w:line="580" w:lineRule="exact"/>
        <w:rPr>
          <w:rFonts w:hint="eastAsia" w:eastAsia="黑体"/>
          <w:spacing w:val="-6"/>
          <w:kern w:val="0"/>
          <w:szCs w:val="32"/>
        </w:rPr>
      </w:pPr>
    </w:p>
    <w:p>
      <w:pPr>
        <w:adjustRightInd w:val="0"/>
        <w:snapToGrid w:val="0"/>
        <w:spacing w:line="14" w:lineRule="exact"/>
        <w:jc w:val="left"/>
        <w:rPr>
          <w:rFonts w:hint="eastAsia" w:eastAsia="黑体"/>
          <w:spacing w:val="-6"/>
          <w:kern w:val="0"/>
          <w:szCs w:val="32"/>
        </w:rPr>
      </w:pPr>
    </w:p>
    <w:p/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559" w:bottom="1928" w:left="1559" w:header="851" w:footer="1247" w:gutter="0"/>
      <w:pgNumType w:chapStyle="1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CS仿宋体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2" w:leftChars="100" w:right="312" w:rightChars="100" w:firstLine="560"/>
      <w:jc w:val="right"/>
      <w:rPr>
        <w:rFonts w:hint="eastAsia"/>
        <w:sz w:val="28"/>
        <w:szCs w:val="28"/>
      </w:rPr>
    </w:pPr>
    <w:r>
      <w:rPr>
        <w:rStyle w:val="6"/>
        <w:rFonts w:hint="eastAsia" w:eastAsia="宋体"/>
        <w:sz w:val="28"/>
        <w:szCs w:val="28"/>
      </w:rPr>
      <w:t>—</w:t>
    </w:r>
    <w:r>
      <w:rPr>
        <w:rStyle w:val="6"/>
        <w:rFonts w:hint="eastAsia"/>
        <w:sz w:val="28"/>
        <w:szCs w:val="28"/>
      </w:rPr>
      <w:t xml:space="preserve">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7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</w:t>
    </w:r>
    <w:r>
      <w:rPr>
        <w:rStyle w:val="6"/>
        <w:rFonts w:hint="eastAsia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2294"/>
        <w:tab w:val="clear" w:pos="4153"/>
        <w:tab w:val="clear" w:pos="8306"/>
      </w:tabs>
      <w:ind w:left="312" w:leftChars="100" w:right="312" w:rightChars="100"/>
      <w:rPr>
        <w:rStyle w:val="6"/>
        <w:rFonts w:hint="eastAsia" w:eastAsia="宋体"/>
        <w:sz w:val="28"/>
        <w:szCs w:val="28"/>
      </w:rPr>
    </w:pPr>
    <w:r>
      <w:rPr>
        <w:rStyle w:val="6"/>
        <w:rFonts w:hint="eastAsia" w:eastAsia="宋体"/>
        <w:sz w:val="28"/>
        <w:szCs w:val="28"/>
      </w:rPr>
      <w:t xml:space="preserve">— </w:t>
    </w:r>
    <w:r>
      <w:rPr>
        <w:rStyle w:val="6"/>
        <w:rFonts w:eastAsia="宋体"/>
        <w:sz w:val="28"/>
        <w:szCs w:val="28"/>
      </w:rPr>
      <w:fldChar w:fldCharType="begin"/>
    </w:r>
    <w:r>
      <w:rPr>
        <w:rStyle w:val="6"/>
        <w:rFonts w:eastAsia="宋体"/>
        <w:sz w:val="28"/>
        <w:szCs w:val="28"/>
      </w:rPr>
      <w:instrText xml:space="preserve">PAGE  </w:instrText>
    </w:r>
    <w:r>
      <w:rPr>
        <w:rStyle w:val="6"/>
        <w:rFonts w:eastAsia="宋体"/>
        <w:sz w:val="28"/>
        <w:szCs w:val="28"/>
      </w:rPr>
      <w:fldChar w:fldCharType="separate"/>
    </w:r>
    <w:r>
      <w:rPr>
        <w:rStyle w:val="6"/>
        <w:rFonts w:eastAsia="宋体"/>
        <w:sz w:val="28"/>
        <w:szCs w:val="28"/>
      </w:rPr>
      <w:t>8</w:t>
    </w:r>
    <w:r>
      <w:rPr>
        <w:rStyle w:val="6"/>
        <w:rFonts w:eastAsia="宋体"/>
        <w:sz w:val="28"/>
        <w:szCs w:val="28"/>
      </w:rPr>
      <w:fldChar w:fldCharType="end"/>
    </w:r>
    <w:r>
      <w:rPr>
        <w:rStyle w:val="6"/>
        <w:rFonts w:hint="eastAsia" w:eastAsia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32"/>
      </w:rPr>
    </w:pPr>
    <w:r>
      <w:rPr>
        <w:rStyle w:val="6"/>
        <w:rFonts w:hint="eastAsia"/>
        <w:sz w:val="32"/>
      </w:rPr>
      <w:t xml:space="preserve">— </w:t>
    </w:r>
    <w:r>
      <w:rPr>
        <w:rStyle w:val="6"/>
        <w:rFonts w:hint="eastAsia"/>
        <w:sz w:val="30"/>
      </w:rPr>
      <w:fldChar w:fldCharType="begin"/>
    </w:r>
    <w:r>
      <w:rPr>
        <w:rStyle w:val="6"/>
        <w:rFonts w:hint="eastAsia"/>
        <w:sz w:val="30"/>
      </w:rPr>
      <w:instrText xml:space="preserve"> PAGE </w:instrText>
    </w:r>
    <w:r>
      <w:rPr>
        <w:rStyle w:val="6"/>
        <w:rFonts w:hint="eastAsia"/>
        <w:sz w:val="30"/>
      </w:rPr>
      <w:fldChar w:fldCharType="separate"/>
    </w:r>
    <w:r>
      <w:rPr>
        <w:rStyle w:val="6"/>
        <w:sz w:val="30"/>
      </w:rPr>
      <w:t>26</w:t>
    </w:r>
    <w:r>
      <w:rPr>
        <w:rStyle w:val="6"/>
        <w:rFonts w:hint="eastAsia"/>
        <w:sz w:val="30"/>
      </w:rPr>
      <w:fldChar w:fldCharType="end"/>
    </w:r>
    <w:r>
      <w:rPr>
        <w:rStyle w:val="6"/>
        <w:rFonts w:hint="eastAsia"/>
        <w:sz w:val="32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F0E6A"/>
    <w:rsid w:val="09E366F4"/>
    <w:rsid w:val="302C1778"/>
    <w:rsid w:val="518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文鼎CS仿宋体" w:cs="Times New Roman"/>
      <w:spacing w:val="-4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2021-12-14T03:06:00Z</dcterms:created>
  <dc:creator>松鼠喵huan</dc:creator>
  <cp:lastModifiedBy>松鼠喵huan</cp:lastModifiedBy>
  <dcterms:modified xsi:type="dcterms:W3CDTF">2021-12-14T03:06:51Z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B5FB967371E041F799E60E5DFB4535D5</vt:lpwstr>
  </property>
</Properties>
</file>