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horzAnchor="margin" w:tblpXSpec="center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44"/>
      </w:tblGrid>
      <w:tr w:rsidR="00B27B06" w14:paraId="2D66E4DE" w14:textId="77777777" w:rsidTr="00BF2981">
        <w:trPr>
          <w:trHeight w:val="87"/>
        </w:trPr>
        <w:tc>
          <w:tcPr>
            <w:tcW w:w="8844" w:type="dxa"/>
            <w:tcMar>
              <w:left w:w="0" w:type="dxa"/>
              <w:right w:w="0" w:type="dxa"/>
            </w:tcMar>
          </w:tcPr>
          <w:p w14:paraId="0F50E4D1" w14:textId="77777777" w:rsidR="00B27B06" w:rsidRPr="00B27B06" w:rsidRDefault="00B27B06" w:rsidP="00B27B06">
            <w:pPr>
              <w:pStyle w:val="a7"/>
              <w:spacing w:line="440" w:lineRule="exact"/>
              <w:jc w:val="both"/>
              <w:rPr>
                <w:color w:val="000000"/>
                <w:sz w:val="32"/>
              </w:rPr>
            </w:pPr>
          </w:p>
        </w:tc>
      </w:tr>
      <w:tr w:rsidR="00284AAB" w14:paraId="09049305" w14:textId="77777777" w:rsidTr="00BF2981">
        <w:trPr>
          <w:trHeight w:val="87"/>
        </w:trPr>
        <w:tc>
          <w:tcPr>
            <w:tcW w:w="8844" w:type="dxa"/>
            <w:tcMar>
              <w:left w:w="0" w:type="dxa"/>
              <w:right w:w="0" w:type="dxa"/>
            </w:tcMar>
          </w:tcPr>
          <w:p w14:paraId="5F66E24D" w14:textId="77777777" w:rsidR="00284AAB" w:rsidRPr="00B27B06" w:rsidRDefault="00284AAB" w:rsidP="00BF2981">
            <w:pPr>
              <w:pStyle w:val="a7"/>
              <w:spacing w:line="340" w:lineRule="exact"/>
              <w:jc w:val="both"/>
              <w:rPr>
                <w:color w:val="000000"/>
                <w:sz w:val="32"/>
              </w:rPr>
            </w:pPr>
          </w:p>
        </w:tc>
      </w:tr>
      <w:tr w:rsidR="00284AAB" w14:paraId="1144F43F" w14:textId="77777777" w:rsidTr="00BF2981">
        <w:trPr>
          <w:trHeight w:val="87"/>
        </w:trPr>
        <w:tc>
          <w:tcPr>
            <w:tcW w:w="8844" w:type="dxa"/>
            <w:tcMar>
              <w:left w:w="0" w:type="dxa"/>
              <w:right w:w="0" w:type="dxa"/>
            </w:tcMar>
          </w:tcPr>
          <w:p w14:paraId="0F88E1A3" w14:textId="77777777" w:rsidR="00284AAB" w:rsidRPr="00B27B06" w:rsidRDefault="00284AAB" w:rsidP="00B27B06">
            <w:pPr>
              <w:pStyle w:val="a7"/>
              <w:spacing w:line="440" w:lineRule="exact"/>
              <w:jc w:val="both"/>
              <w:rPr>
                <w:color w:val="000000"/>
                <w:sz w:val="32"/>
              </w:rPr>
            </w:pPr>
          </w:p>
        </w:tc>
      </w:tr>
      <w:tr w:rsidR="00284AAB" w14:paraId="416BCAF0" w14:textId="77777777" w:rsidTr="00FC5F5C">
        <w:tc>
          <w:tcPr>
            <w:tcW w:w="8844" w:type="dxa"/>
            <w:tcMar>
              <w:left w:w="0" w:type="dxa"/>
              <w:right w:w="0" w:type="dxa"/>
            </w:tcMar>
          </w:tcPr>
          <w:p w14:paraId="1D5ADA0C" w14:textId="77777777" w:rsidR="00284AAB" w:rsidRPr="006A76ED" w:rsidRDefault="00284AAB" w:rsidP="006A76ED">
            <w:pPr>
              <w:pStyle w:val="af"/>
              <w:spacing w:before="100" w:after="600" w:line="1300" w:lineRule="atLeast"/>
              <w:ind w:leftChars="100" w:left="315" w:rightChars="100" w:right="315" w:firstLine="0"/>
              <w:rPr>
                <w:rFonts w:ascii="Times New Roman" w:eastAsia="方正小标宋_GBK"/>
                <w:w w:val="60"/>
                <w:sz w:val="120"/>
                <w:szCs w:val="120"/>
              </w:rPr>
            </w:pPr>
            <w:r w:rsidRPr="006A76ED">
              <w:rPr>
                <w:rFonts w:ascii="Times New Roman" w:eastAsia="方正小标宋_GBK" w:hint="eastAsia"/>
                <w:w w:val="60"/>
                <w:sz w:val="120"/>
                <w:szCs w:val="120"/>
              </w:rPr>
              <w:t>江苏省</w:t>
            </w:r>
            <w:r w:rsidR="00826ED1" w:rsidRPr="006A76ED">
              <w:rPr>
                <w:rFonts w:ascii="Times New Roman" w:eastAsia="方正小标宋_GBK" w:hint="eastAsia"/>
                <w:w w:val="60"/>
                <w:sz w:val="120"/>
                <w:szCs w:val="120"/>
              </w:rPr>
              <w:t>科</w:t>
            </w:r>
            <w:r w:rsidR="006A76ED" w:rsidRPr="006A76ED">
              <w:rPr>
                <w:rFonts w:ascii="Times New Roman" w:eastAsia="方正小标宋_GBK" w:hint="eastAsia"/>
                <w:w w:val="60"/>
                <w:sz w:val="120"/>
                <w:szCs w:val="120"/>
              </w:rPr>
              <w:t>学</w:t>
            </w:r>
            <w:r w:rsidR="00826ED1" w:rsidRPr="006A76ED">
              <w:rPr>
                <w:rFonts w:ascii="Times New Roman" w:eastAsia="方正小标宋_GBK" w:hint="eastAsia"/>
                <w:w w:val="60"/>
                <w:sz w:val="120"/>
                <w:szCs w:val="120"/>
              </w:rPr>
              <w:t>技</w:t>
            </w:r>
            <w:r w:rsidR="006A76ED" w:rsidRPr="006A76ED">
              <w:rPr>
                <w:rFonts w:ascii="Times New Roman" w:eastAsia="方正小标宋_GBK" w:hint="eastAsia"/>
                <w:w w:val="60"/>
                <w:sz w:val="120"/>
                <w:szCs w:val="120"/>
              </w:rPr>
              <w:t>术</w:t>
            </w:r>
            <w:r w:rsidRPr="006A76ED">
              <w:rPr>
                <w:rFonts w:ascii="Times New Roman" w:eastAsia="方正小标宋_GBK" w:hint="eastAsia"/>
                <w:w w:val="60"/>
                <w:sz w:val="120"/>
                <w:szCs w:val="120"/>
              </w:rPr>
              <w:t>厅文件</w:t>
            </w:r>
          </w:p>
        </w:tc>
      </w:tr>
      <w:tr w:rsidR="00284AAB" w14:paraId="607CBD45" w14:textId="77777777" w:rsidTr="00FC5F5C">
        <w:tc>
          <w:tcPr>
            <w:tcW w:w="8844" w:type="dxa"/>
            <w:tcMar>
              <w:left w:w="0" w:type="dxa"/>
              <w:right w:w="0" w:type="dxa"/>
            </w:tcMar>
          </w:tcPr>
          <w:p w14:paraId="5F552517" w14:textId="56EEF597" w:rsidR="00284AAB" w:rsidRPr="00284AAB" w:rsidRDefault="00284AAB" w:rsidP="00BF2981">
            <w:pPr>
              <w:tabs>
                <w:tab w:val="left" w:pos="8364"/>
              </w:tabs>
              <w:ind w:firstLine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苏</w:t>
            </w:r>
            <w:r w:rsidR="00826ED1">
              <w:rPr>
                <w:rFonts w:hint="eastAsia"/>
                <w:noProof/>
              </w:rPr>
              <w:t>科</w:t>
            </w:r>
            <w:r w:rsidR="00FC5F5C">
              <w:rPr>
                <w:rFonts w:hint="eastAsia"/>
              </w:rPr>
              <w:t>机发</w:t>
            </w:r>
            <w:r>
              <w:rPr>
                <w:rFonts w:hint="eastAsia"/>
                <w:noProof/>
              </w:rPr>
              <w:t>〔</w:t>
            </w:r>
            <w:r>
              <w:rPr>
                <w:rFonts w:hint="eastAsia"/>
                <w:noProof/>
              </w:rPr>
              <w:t>20</w:t>
            </w:r>
            <w:r w:rsidR="00FC5F5C">
              <w:rPr>
                <w:noProof/>
              </w:rPr>
              <w:t>21</w:t>
            </w:r>
            <w:r>
              <w:rPr>
                <w:rFonts w:hint="eastAsia"/>
                <w:noProof/>
              </w:rPr>
              <w:t>〕</w:t>
            </w:r>
            <w:r w:rsidR="00BF2981">
              <w:rPr>
                <w:rFonts w:hint="eastAsia"/>
                <w:noProof/>
              </w:rPr>
              <w:t>260</w:t>
            </w:r>
            <w:r>
              <w:rPr>
                <w:rFonts w:hint="eastAsia"/>
                <w:noProof/>
              </w:rPr>
              <w:t>号</w:t>
            </w:r>
          </w:p>
        </w:tc>
      </w:tr>
      <w:bookmarkStart w:id="0" w:name="_MON_988455212"/>
      <w:bookmarkStart w:id="1" w:name="_MON_988455233"/>
      <w:bookmarkStart w:id="2" w:name="_MON_988455526"/>
      <w:bookmarkStart w:id="3" w:name="_MON_988455575"/>
      <w:bookmarkStart w:id="4" w:name="_MON_988455599"/>
      <w:bookmarkStart w:id="5" w:name="_MON_988455626"/>
      <w:bookmarkStart w:id="6" w:name="_MON_988455645"/>
      <w:bookmarkStart w:id="7" w:name="_MON_988455673"/>
      <w:bookmarkStart w:id="8" w:name="_MON_988456248"/>
      <w:bookmarkStart w:id="9" w:name="_MON_1082439050"/>
      <w:bookmarkStart w:id="10" w:name="_MON_1082439055"/>
      <w:bookmarkStart w:id="11" w:name="_MON_1085810014"/>
      <w:bookmarkStart w:id="12" w:name="_MON_1085810142"/>
      <w:bookmarkStart w:id="13" w:name="_MON_1402823385"/>
      <w:bookmarkStart w:id="14" w:name="_MON_1402823391"/>
      <w:bookmarkStart w:id="15" w:name="_MON_98845515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tr w:rsidR="00284AAB" w14:paraId="40076D06" w14:textId="77777777" w:rsidTr="00FC5F5C">
        <w:tc>
          <w:tcPr>
            <w:tcW w:w="8844" w:type="dxa"/>
            <w:tcMar>
              <w:left w:w="0" w:type="dxa"/>
              <w:right w:w="0" w:type="dxa"/>
            </w:tcMar>
          </w:tcPr>
          <w:p w14:paraId="2C75D8B5" w14:textId="77777777" w:rsidR="00284AAB" w:rsidRPr="00284AAB" w:rsidRDefault="001C6E41" w:rsidP="00284AAB">
            <w:pPr>
              <w:pStyle w:val="a6"/>
              <w:snapToGrid w:val="0"/>
              <w:spacing w:after="840" w:line="100" w:lineRule="atLeast"/>
              <w:ind w:left="-57" w:right="-57"/>
              <w:rPr>
                <w:rFonts w:ascii="Times New Roman"/>
              </w:rPr>
            </w:pPr>
            <w:r w:rsidRPr="001C6E41">
              <w:rPr>
                <w:rFonts w:ascii="Times New Roman"/>
              </w:rPr>
              <w:object w:dxaOrig="7921" w:dyaOrig="136" w14:anchorId="531C8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7.9pt;height:6.7pt" o:ole="" fillcolor="window">
                  <v:imagedata r:id="rId8" o:title=""/>
                </v:shape>
                <o:OLEObject Type="Embed" ProgID="Word.Picture.8" ShapeID="_x0000_i1025" DrawAspect="Content" ObjectID="_1698557468" r:id="rId9"/>
              </w:object>
            </w:r>
          </w:p>
        </w:tc>
      </w:tr>
    </w:tbl>
    <w:p w14:paraId="54A3B2EC" w14:textId="77777777" w:rsidR="00FC5F5C" w:rsidRDefault="00FC5F5C" w:rsidP="00524214">
      <w:pPr>
        <w:spacing w:line="590" w:lineRule="exact"/>
        <w:ind w:firstLine="0"/>
        <w:jc w:val="center"/>
        <w:rPr>
          <w:rFonts w:eastAsia="方正小标宋_GBK"/>
          <w:sz w:val="44"/>
        </w:rPr>
      </w:pPr>
      <w:r w:rsidRPr="00FC5F5C">
        <w:rPr>
          <w:rFonts w:eastAsia="方正小标宋_GBK" w:hint="eastAsia"/>
          <w:sz w:val="44"/>
        </w:rPr>
        <w:t>省科学技术厅关于发布江苏省重点实验室</w:t>
      </w:r>
    </w:p>
    <w:p w14:paraId="0C2AB9E4" w14:textId="43C0C072" w:rsidR="00482C22" w:rsidRDefault="00FC5F5C" w:rsidP="00524214">
      <w:pPr>
        <w:spacing w:line="590" w:lineRule="exact"/>
        <w:ind w:firstLine="0"/>
        <w:jc w:val="center"/>
      </w:pPr>
      <w:r w:rsidRPr="00FC5F5C">
        <w:rPr>
          <w:rFonts w:eastAsia="方正小标宋_GBK" w:hint="eastAsia"/>
          <w:sz w:val="44"/>
        </w:rPr>
        <w:t>整改复评结果的通知</w:t>
      </w:r>
    </w:p>
    <w:p w14:paraId="1842107D" w14:textId="77777777" w:rsidR="00FC5F5C" w:rsidRDefault="00FC5F5C" w:rsidP="00524214">
      <w:pPr>
        <w:spacing w:line="590" w:lineRule="exact"/>
        <w:ind w:firstLine="0"/>
      </w:pPr>
    </w:p>
    <w:p w14:paraId="0FC8E249" w14:textId="4A0761DC" w:rsidR="00482C22" w:rsidRPr="00FC5F5C" w:rsidRDefault="00FC5F5C" w:rsidP="00524214">
      <w:pPr>
        <w:spacing w:line="590" w:lineRule="exact"/>
        <w:ind w:firstLine="0"/>
      </w:pPr>
      <w:r w:rsidRPr="00FC5F5C">
        <w:rPr>
          <w:rFonts w:hint="eastAsia"/>
        </w:rPr>
        <w:t>各有关单位：</w:t>
      </w:r>
    </w:p>
    <w:p w14:paraId="27D8AF8A" w14:textId="70D5B6AF" w:rsidR="00FC5F5C" w:rsidRPr="00F25EEF" w:rsidRDefault="00FC5F5C" w:rsidP="00524214">
      <w:pPr>
        <w:spacing w:line="590" w:lineRule="exact"/>
        <w:ind w:firstLineChars="200" w:firstLine="630"/>
        <w:rPr>
          <w:szCs w:val="32"/>
        </w:rPr>
      </w:pPr>
      <w:r w:rsidRPr="00F25EEF">
        <w:rPr>
          <w:szCs w:val="32"/>
        </w:rPr>
        <w:t>按照《江苏省重点实验室评估规则（试行）》（苏</w:t>
      </w:r>
      <w:proofErr w:type="gramStart"/>
      <w:r w:rsidRPr="00F25EEF">
        <w:rPr>
          <w:szCs w:val="32"/>
        </w:rPr>
        <w:t>科条发</w:t>
      </w:r>
      <w:proofErr w:type="gramEnd"/>
      <w:r w:rsidRPr="00F25EEF">
        <w:rPr>
          <w:szCs w:val="32"/>
        </w:rPr>
        <w:t>〔</w:t>
      </w:r>
      <w:r w:rsidRPr="00F25EEF">
        <w:rPr>
          <w:szCs w:val="32"/>
        </w:rPr>
        <w:t>2014</w:t>
      </w:r>
      <w:r w:rsidRPr="00F25EEF">
        <w:rPr>
          <w:szCs w:val="32"/>
        </w:rPr>
        <w:t>〕</w:t>
      </w:r>
      <w:r w:rsidRPr="00F25EEF">
        <w:rPr>
          <w:szCs w:val="32"/>
        </w:rPr>
        <w:t>199</w:t>
      </w:r>
      <w:r w:rsidRPr="00F25EEF">
        <w:rPr>
          <w:szCs w:val="32"/>
        </w:rPr>
        <w:t>号）</w:t>
      </w:r>
      <w:r>
        <w:rPr>
          <w:rFonts w:hint="eastAsia"/>
          <w:szCs w:val="32"/>
        </w:rPr>
        <w:t>要求</w:t>
      </w:r>
      <w:r w:rsidRPr="00F25EEF">
        <w:rPr>
          <w:szCs w:val="32"/>
        </w:rPr>
        <w:t>，为</w:t>
      </w:r>
      <w:proofErr w:type="gramStart"/>
      <w:r>
        <w:rPr>
          <w:rFonts w:hint="eastAsia"/>
          <w:szCs w:val="32"/>
        </w:rPr>
        <w:t>提升省</w:t>
      </w:r>
      <w:proofErr w:type="gramEnd"/>
      <w:r w:rsidRPr="00F25EEF">
        <w:rPr>
          <w:szCs w:val="32"/>
        </w:rPr>
        <w:t>重点实验室建设与管理水平，</w:t>
      </w:r>
      <w:proofErr w:type="gramStart"/>
      <w:r>
        <w:rPr>
          <w:rFonts w:hint="eastAsia"/>
          <w:szCs w:val="32"/>
        </w:rPr>
        <w:t>引导省</w:t>
      </w:r>
      <w:proofErr w:type="gramEnd"/>
      <w:r>
        <w:rPr>
          <w:rFonts w:hint="eastAsia"/>
          <w:szCs w:val="32"/>
        </w:rPr>
        <w:t>重点实验室加强基础研究和应用基础研究，产出高水平原创性研究成果，</w:t>
      </w:r>
      <w:r w:rsidRPr="00F25EEF">
        <w:rPr>
          <w:szCs w:val="32"/>
        </w:rPr>
        <w:t>省科技厅组织专家对</w:t>
      </w:r>
      <w:r w:rsidRPr="00F25EEF">
        <w:rPr>
          <w:szCs w:val="32"/>
        </w:rPr>
        <w:t>20</w:t>
      </w:r>
      <w:r>
        <w:rPr>
          <w:rFonts w:hint="eastAsia"/>
          <w:szCs w:val="32"/>
        </w:rPr>
        <w:t>20</w:t>
      </w:r>
      <w:r w:rsidRPr="00F25EEF">
        <w:rPr>
          <w:szCs w:val="32"/>
        </w:rPr>
        <w:t>年度评估结果为</w:t>
      </w:r>
      <w:r>
        <w:rPr>
          <w:rFonts w:hint="eastAsia"/>
          <w:szCs w:val="32"/>
        </w:rPr>
        <w:t>“</w:t>
      </w:r>
      <w:r w:rsidRPr="00F25EEF">
        <w:rPr>
          <w:szCs w:val="32"/>
        </w:rPr>
        <w:t>整改</w:t>
      </w:r>
      <w:r>
        <w:rPr>
          <w:rFonts w:hint="eastAsia"/>
          <w:szCs w:val="32"/>
        </w:rPr>
        <w:t>”的</w:t>
      </w:r>
      <w:r w:rsidRPr="00F25EEF">
        <w:rPr>
          <w:szCs w:val="32"/>
        </w:rPr>
        <w:t>省重点实验室</w:t>
      </w:r>
      <w:r>
        <w:rPr>
          <w:rFonts w:hint="eastAsia"/>
          <w:szCs w:val="32"/>
        </w:rPr>
        <w:t>开展</w:t>
      </w:r>
      <w:r w:rsidRPr="00F25EEF">
        <w:rPr>
          <w:szCs w:val="32"/>
        </w:rPr>
        <w:t>了整改</w:t>
      </w:r>
      <w:r>
        <w:rPr>
          <w:rFonts w:hint="eastAsia"/>
          <w:szCs w:val="32"/>
        </w:rPr>
        <w:t>复评工作</w:t>
      </w:r>
      <w:r w:rsidRPr="00F25EEF">
        <w:rPr>
          <w:szCs w:val="32"/>
        </w:rPr>
        <w:t>，经审阅资料、现场考察及访谈等程序，确定</w:t>
      </w:r>
      <w:r>
        <w:rPr>
          <w:rFonts w:hint="eastAsia"/>
          <w:szCs w:val="32"/>
        </w:rPr>
        <w:t>整改复评</w:t>
      </w:r>
      <w:r w:rsidRPr="00F25EEF">
        <w:rPr>
          <w:szCs w:val="32"/>
        </w:rPr>
        <w:t>结果。现将整改</w:t>
      </w:r>
      <w:r>
        <w:rPr>
          <w:rFonts w:hint="eastAsia"/>
          <w:szCs w:val="32"/>
        </w:rPr>
        <w:t>复评</w:t>
      </w:r>
      <w:r w:rsidRPr="00F25EEF">
        <w:rPr>
          <w:szCs w:val="32"/>
        </w:rPr>
        <w:t>情况及结果通知如下：</w:t>
      </w:r>
    </w:p>
    <w:p w14:paraId="3ED2FB6D" w14:textId="77777777" w:rsidR="00FC5F5C" w:rsidRDefault="00FC5F5C" w:rsidP="00524214">
      <w:pPr>
        <w:spacing w:line="590" w:lineRule="exact"/>
        <w:ind w:firstLineChars="200" w:firstLine="630"/>
        <w:outlineLvl w:val="0"/>
        <w:rPr>
          <w:rFonts w:ascii="黑体" w:eastAsia="黑体" w:hAnsi="黑体"/>
          <w:szCs w:val="32"/>
        </w:rPr>
      </w:pPr>
      <w:r w:rsidRPr="00F25EEF">
        <w:rPr>
          <w:rFonts w:ascii="黑体" w:eastAsia="黑体" w:hAnsi="黑体"/>
          <w:szCs w:val="32"/>
        </w:rPr>
        <w:t>一、</w:t>
      </w:r>
      <w:r>
        <w:rPr>
          <w:rFonts w:ascii="黑体" w:eastAsia="黑体" w:hAnsi="黑体" w:hint="eastAsia"/>
          <w:szCs w:val="32"/>
        </w:rPr>
        <w:t>整改复评对象</w:t>
      </w:r>
    </w:p>
    <w:p w14:paraId="3F046A93" w14:textId="77777777" w:rsidR="00FC5F5C" w:rsidRDefault="00FC5F5C" w:rsidP="00524214">
      <w:pPr>
        <w:spacing w:line="590" w:lineRule="exact"/>
        <w:ind w:firstLineChars="200" w:firstLine="630"/>
        <w:outlineLvl w:val="0"/>
        <w:rPr>
          <w:rFonts w:ascii="黑体" w:eastAsia="黑体" w:hAnsi="黑体"/>
          <w:szCs w:val="32"/>
        </w:rPr>
      </w:pPr>
      <w:r w:rsidRPr="00F25EEF">
        <w:rPr>
          <w:szCs w:val="32"/>
        </w:rPr>
        <w:t>20</w:t>
      </w:r>
      <w:r>
        <w:rPr>
          <w:rFonts w:hint="eastAsia"/>
          <w:szCs w:val="32"/>
        </w:rPr>
        <w:t>20</w:t>
      </w:r>
      <w:r w:rsidRPr="00F25EEF">
        <w:rPr>
          <w:szCs w:val="32"/>
        </w:rPr>
        <w:t>年度评估结果为</w:t>
      </w:r>
      <w:r>
        <w:rPr>
          <w:rFonts w:hint="eastAsia"/>
          <w:szCs w:val="32"/>
        </w:rPr>
        <w:t>“</w:t>
      </w:r>
      <w:r w:rsidRPr="00F25EEF">
        <w:rPr>
          <w:szCs w:val="32"/>
        </w:rPr>
        <w:t>整改</w:t>
      </w:r>
      <w:r>
        <w:rPr>
          <w:rFonts w:hint="eastAsia"/>
          <w:szCs w:val="32"/>
        </w:rPr>
        <w:t>”的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家</w:t>
      </w:r>
      <w:r w:rsidRPr="00F25EEF">
        <w:rPr>
          <w:szCs w:val="32"/>
        </w:rPr>
        <w:t>省重点实验室</w:t>
      </w:r>
      <w:r>
        <w:rPr>
          <w:rFonts w:hint="eastAsia"/>
          <w:szCs w:val="32"/>
        </w:rPr>
        <w:t>，分别为</w:t>
      </w:r>
      <w:r w:rsidRPr="009510FE">
        <w:rPr>
          <w:rFonts w:hint="eastAsia"/>
          <w:szCs w:val="32"/>
        </w:rPr>
        <w:t>江苏省网络群体智能重点实验室（东南大学）、江苏省高端结构</w:t>
      </w:r>
      <w:r w:rsidRPr="009510FE">
        <w:rPr>
          <w:rFonts w:hint="eastAsia"/>
          <w:szCs w:val="32"/>
        </w:rPr>
        <w:lastRenderedPageBreak/>
        <w:t>材料重点实验室（江苏大学）、江苏省盐土生物资源研究重点实验室（盐城师范学院）、江苏省兽用生物制药高技术研究重点实验室（江苏农牧科技职业学院）</w:t>
      </w:r>
      <w:r>
        <w:rPr>
          <w:rFonts w:hint="eastAsia"/>
          <w:szCs w:val="32"/>
        </w:rPr>
        <w:t>。</w:t>
      </w:r>
    </w:p>
    <w:p w14:paraId="27796B69" w14:textId="77777777" w:rsidR="00FC5F5C" w:rsidRPr="00F25EEF" w:rsidRDefault="00FC5F5C" w:rsidP="00524214">
      <w:pPr>
        <w:spacing w:line="590" w:lineRule="exact"/>
        <w:ind w:firstLineChars="200" w:firstLine="630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</w:t>
      </w:r>
      <w:r w:rsidRPr="00F25EEF">
        <w:rPr>
          <w:rFonts w:ascii="黑体" w:eastAsia="黑体" w:hAnsi="黑体"/>
          <w:szCs w:val="32"/>
        </w:rPr>
        <w:t>整改</w:t>
      </w:r>
      <w:r>
        <w:rPr>
          <w:rFonts w:ascii="黑体" w:eastAsia="黑体" w:hAnsi="黑体" w:hint="eastAsia"/>
          <w:szCs w:val="32"/>
        </w:rPr>
        <w:t>复评</w:t>
      </w:r>
      <w:r w:rsidRPr="00F25EEF">
        <w:rPr>
          <w:rFonts w:ascii="黑体" w:eastAsia="黑体" w:hAnsi="黑体"/>
          <w:szCs w:val="32"/>
        </w:rPr>
        <w:t>总体情况</w:t>
      </w:r>
    </w:p>
    <w:p w14:paraId="781A6518" w14:textId="77777777" w:rsidR="00FC5F5C" w:rsidRPr="00F25EEF" w:rsidRDefault="00FC5F5C" w:rsidP="00524214">
      <w:pPr>
        <w:spacing w:line="590" w:lineRule="exact"/>
        <w:ind w:firstLineChars="200" w:firstLine="630"/>
        <w:rPr>
          <w:szCs w:val="32"/>
        </w:rPr>
      </w:pPr>
      <w:r w:rsidRPr="00F25EEF">
        <w:rPr>
          <w:szCs w:val="32"/>
        </w:rPr>
        <w:t>整改期内，</w:t>
      </w:r>
      <w:r>
        <w:rPr>
          <w:rFonts w:hint="eastAsia"/>
          <w:szCs w:val="32"/>
        </w:rPr>
        <w:t>4</w:t>
      </w:r>
      <w:r w:rsidRPr="00F25EEF">
        <w:rPr>
          <w:szCs w:val="32"/>
        </w:rPr>
        <w:t>家省重点实验室按照评估</w:t>
      </w:r>
      <w:r>
        <w:rPr>
          <w:rFonts w:hint="eastAsia"/>
          <w:szCs w:val="32"/>
        </w:rPr>
        <w:t>分析结果及整改建议</w:t>
      </w:r>
      <w:r w:rsidRPr="00F25EEF">
        <w:rPr>
          <w:szCs w:val="32"/>
        </w:rPr>
        <w:t>，针对</w:t>
      </w:r>
      <w:r>
        <w:rPr>
          <w:rFonts w:hint="eastAsia"/>
          <w:szCs w:val="32"/>
        </w:rPr>
        <w:t>存在的</w:t>
      </w:r>
      <w:r w:rsidRPr="00F25EEF">
        <w:rPr>
          <w:szCs w:val="32"/>
        </w:rPr>
        <w:t>主要问题采取相应措施，取得一定整改成效</w:t>
      </w:r>
      <w:r>
        <w:rPr>
          <w:rFonts w:hint="eastAsia"/>
          <w:szCs w:val="32"/>
        </w:rPr>
        <w:t>。</w:t>
      </w:r>
    </w:p>
    <w:p w14:paraId="27A554A3" w14:textId="77777777" w:rsidR="00FC5F5C" w:rsidRPr="00F25EEF" w:rsidRDefault="00FC5F5C" w:rsidP="00524214">
      <w:pPr>
        <w:spacing w:line="590" w:lineRule="exact"/>
        <w:ind w:firstLineChars="200" w:firstLine="630"/>
        <w:rPr>
          <w:szCs w:val="32"/>
        </w:rPr>
      </w:pPr>
      <w:r w:rsidRPr="00D75C67">
        <w:rPr>
          <w:rFonts w:eastAsia="楷体"/>
          <w:szCs w:val="32"/>
        </w:rPr>
        <w:t xml:space="preserve">1. </w:t>
      </w:r>
      <w:r w:rsidRPr="00D75C67">
        <w:rPr>
          <w:rFonts w:eastAsia="楷体" w:hAnsi="楷体"/>
          <w:szCs w:val="32"/>
        </w:rPr>
        <w:t>依托单位和主管部门高度重视。</w:t>
      </w:r>
      <w:r w:rsidRPr="00F25EEF">
        <w:rPr>
          <w:szCs w:val="32"/>
        </w:rPr>
        <w:t>相关依托单位和主管部门高度重视</w:t>
      </w:r>
      <w:r>
        <w:rPr>
          <w:rFonts w:hint="eastAsia"/>
          <w:szCs w:val="32"/>
        </w:rPr>
        <w:t>省重点实验室</w:t>
      </w:r>
      <w:r w:rsidRPr="00F25EEF">
        <w:rPr>
          <w:szCs w:val="32"/>
        </w:rPr>
        <w:t>整改工作，通过加强组织领导、加大投入</w:t>
      </w:r>
      <w:r>
        <w:rPr>
          <w:rFonts w:hint="eastAsia"/>
          <w:szCs w:val="32"/>
        </w:rPr>
        <w:t>和支持</w:t>
      </w:r>
      <w:r w:rsidRPr="00F25EEF">
        <w:rPr>
          <w:szCs w:val="32"/>
        </w:rPr>
        <w:t>力度、制定人才倾斜政策、改善实验</w:t>
      </w:r>
      <w:r>
        <w:rPr>
          <w:rFonts w:hint="eastAsia"/>
          <w:szCs w:val="32"/>
        </w:rPr>
        <w:t>室设施</w:t>
      </w:r>
      <w:r w:rsidRPr="00F25EEF">
        <w:rPr>
          <w:szCs w:val="32"/>
        </w:rPr>
        <w:t>条件等有效措施为重点实验室的建设发展提供</w:t>
      </w:r>
      <w:r>
        <w:rPr>
          <w:rFonts w:hint="eastAsia"/>
          <w:szCs w:val="32"/>
        </w:rPr>
        <w:t>有力的支撑</w:t>
      </w:r>
      <w:r w:rsidRPr="00F25EEF">
        <w:rPr>
          <w:szCs w:val="32"/>
        </w:rPr>
        <w:t>保障。</w:t>
      </w:r>
    </w:p>
    <w:p w14:paraId="0CACC211" w14:textId="77777777" w:rsidR="00FC5F5C" w:rsidRPr="00F25EEF" w:rsidRDefault="00FC5F5C" w:rsidP="00524214">
      <w:pPr>
        <w:spacing w:line="590" w:lineRule="exact"/>
        <w:ind w:firstLineChars="200" w:firstLine="630"/>
        <w:rPr>
          <w:szCs w:val="32"/>
        </w:rPr>
      </w:pPr>
      <w:r w:rsidRPr="00D75C67">
        <w:rPr>
          <w:rFonts w:eastAsia="楷体"/>
          <w:szCs w:val="32"/>
        </w:rPr>
        <w:t xml:space="preserve">2. </w:t>
      </w:r>
      <w:r w:rsidRPr="00D75C67">
        <w:rPr>
          <w:rFonts w:eastAsia="楷体" w:hAnsi="楷体"/>
          <w:szCs w:val="32"/>
        </w:rPr>
        <w:t>重点实验室针对存在问题，积极整改。</w:t>
      </w:r>
      <w:r w:rsidRPr="00F25EEF">
        <w:rPr>
          <w:szCs w:val="32"/>
        </w:rPr>
        <w:t>各</w:t>
      </w:r>
      <w:r>
        <w:rPr>
          <w:rFonts w:hint="eastAsia"/>
          <w:szCs w:val="32"/>
        </w:rPr>
        <w:t>省</w:t>
      </w:r>
      <w:r w:rsidRPr="00F25EEF">
        <w:rPr>
          <w:szCs w:val="32"/>
        </w:rPr>
        <w:t>重点实验室针对</w:t>
      </w:r>
      <w:r>
        <w:rPr>
          <w:rFonts w:hint="eastAsia"/>
          <w:szCs w:val="32"/>
        </w:rPr>
        <w:t>整改建议</w:t>
      </w:r>
      <w:r w:rsidRPr="00F25EEF">
        <w:rPr>
          <w:szCs w:val="32"/>
        </w:rPr>
        <w:t>，</w:t>
      </w:r>
      <w:r>
        <w:rPr>
          <w:rFonts w:hint="eastAsia"/>
          <w:szCs w:val="32"/>
        </w:rPr>
        <w:t>分别</w:t>
      </w:r>
      <w:r w:rsidRPr="00F25EEF">
        <w:rPr>
          <w:szCs w:val="32"/>
        </w:rPr>
        <w:t>在凝练研究方向、</w:t>
      </w:r>
      <w:r>
        <w:rPr>
          <w:rFonts w:hint="eastAsia"/>
          <w:szCs w:val="32"/>
        </w:rPr>
        <w:t>承担科研任务、加强实验室建设、</w:t>
      </w:r>
      <w:r w:rsidRPr="00F25EEF">
        <w:rPr>
          <w:szCs w:val="32"/>
        </w:rPr>
        <w:t>优化团队结构</w:t>
      </w:r>
      <w:r>
        <w:rPr>
          <w:rFonts w:hint="eastAsia"/>
          <w:szCs w:val="32"/>
        </w:rPr>
        <w:t>、开展产学研合作以及</w:t>
      </w:r>
      <w:r w:rsidRPr="00F25EEF">
        <w:rPr>
          <w:szCs w:val="32"/>
        </w:rPr>
        <w:t>促进成果转移转化等方面采取积极措施。</w:t>
      </w:r>
    </w:p>
    <w:p w14:paraId="5A9DB947" w14:textId="77777777" w:rsidR="00FC5F5C" w:rsidRPr="009510FE" w:rsidRDefault="00FC5F5C" w:rsidP="00524214">
      <w:pPr>
        <w:spacing w:line="590" w:lineRule="exact"/>
        <w:ind w:firstLineChars="200" w:firstLine="630"/>
        <w:rPr>
          <w:szCs w:val="32"/>
        </w:rPr>
      </w:pPr>
      <w:r w:rsidRPr="00D75C67">
        <w:rPr>
          <w:rFonts w:eastAsia="楷体" w:hint="eastAsia"/>
          <w:szCs w:val="32"/>
        </w:rPr>
        <w:t>3.</w:t>
      </w:r>
      <w:r>
        <w:rPr>
          <w:rFonts w:eastAsia="楷体"/>
          <w:szCs w:val="32"/>
        </w:rPr>
        <w:t xml:space="preserve"> </w:t>
      </w:r>
      <w:r w:rsidRPr="00D75C67">
        <w:rPr>
          <w:rFonts w:eastAsia="楷体"/>
          <w:szCs w:val="32"/>
        </w:rPr>
        <w:t>整改成效明显。</w:t>
      </w:r>
      <w:r w:rsidRPr="00F25EEF">
        <w:rPr>
          <w:szCs w:val="32"/>
        </w:rPr>
        <w:t>一年来，</w:t>
      </w:r>
      <w:r w:rsidRPr="009510FE">
        <w:rPr>
          <w:szCs w:val="32"/>
        </w:rPr>
        <w:t>经重点实验室、依托单位</w:t>
      </w:r>
      <w:r w:rsidRPr="009510FE">
        <w:rPr>
          <w:rFonts w:hint="eastAsia"/>
          <w:szCs w:val="32"/>
        </w:rPr>
        <w:t>和</w:t>
      </w:r>
      <w:r w:rsidRPr="009510FE">
        <w:rPr>
          <w:szCs w:val="32"/>
        </w:rPr>
        <w:t>主管部门的共同努力，各</w:t>
      </w:r>
      <w:r w:rsidRPr="009510FE">
        <w:rPr>
          <w:rFonts w:hint="eastAsia"/>
          <w:szCs w:val="32"/>
        </w:rPr>
        <w:t>省</w:t>
      </w:r>
      <w:r w:rsidRPr="009510FE">
        <w:rPr>
          <w:szCs w:val="32"/>
        </w:rPr>
        <w:t>重点实验室在人才团队</w:t>
      </w:r>
      <w:r w:rsidRPr="009510FE">
        <w:rPr>
          <w:rFonts w:hint="eastAsia"/>
          <w:szCs w:val="32"/>
        </w:rPr>
        <w:t>建设</w:t>
      </w:r>
      <w:r w:rsidRPr="009510FE">
        <w:rPr>
          <w:szCs w:val="32"/>
        </w:rPr>
        <w:t>、承担科研任务能力、创新成果</w:t>
      </w:r>
      <w:r w:rsidRPr="009510FE">
        <w:rPr>
          <w:rFonts w:hint="eastAsia"/>
          <w:szCs w:val="32"/>
        </w:rPr>
        <w:t>产出</w:t>
      </w:r>
      <w:r w:rsidRPr="009510FE">
        <w:rPr>
          <w:szCs w:val="32"/>
        </w:rPr>
        <w:t>等方面取得明显整改成效。</w:t>
      </w:r>
      <w:r>
        <w:rPr>
          <w:rFonts w:hint="eastAsia"/>
          <w:szCs w:val="32"/>
        </w:rPr>
        <w:t>4</w:t>
      </w:r>
      <w:r w:rsidRPr="00F25EEF">
        <w:rPr>
          <w:szCs w:val="32"/>
        </w:rPr>
        <w:t>家</w:t>
      </w:r>
      <w:r>
        <w:rPr>
          <w:rFonts w:hint="eastAsia"/>
          <w:szCs w:val="32"/>
        </w:rPr>
        <w:t>省</w:t>
      </w:r>
      <w:r w:rsidRPr="00F25EEF">
        <w:rPr>
          <w:szCs w:val="32"/>
        </w:rPr>
        <w:t>重点实验室共</w:t>
      </w:r>
      <w:r>
        <w:rPr>
          <w:rFonts w:hint="eastAsia"/>
          <w:szCs w:val="32"/>
        </w:rPr>
        <w:t>新增</w:t>
      </w:r>
      <w:r w:rsidRPr="00F25EEF">
        <w:rPr>
          <w:szCs w:val="32"/>
        </w:rPr>
        <w:t>高层次人才</w:t>
      </w:r>
      <w:r w:rsidRPr="00F25EEF">
        <w:rPr>
          <w:szCs w:val="32"/>
        </w:rPr>
        <w:t>2</w:t>
      </w:r>
      <w:r>
        <w:rPr>
          <w:rFonts w:hint="eastAsia"/>
          <w:szCs w:val="32"/>
        </w:rPr>
        <w:t>9</w:t>
      </w:r>
      <w:r w:rsidRPr="00F25EEF">
        <w:rPr>
          <w:szCs w:val="32"/>
        </w:rPr>
        <w:t>人，</w:t>
      </w:r>
      <w:r w:rsidRPr="009510FE">
        <w:rPr>
          <w:rFonts w:hint="eastAsia"/>
          <w:szCs w:val="32"/>
        </w:rPr>
        <w:t>其中长江学者</w:t>
      </w:r>
      <w:r w:rsidRPr="009510FE">
        <w:rPr>
          <w:rFonts w:hint="eastAsia"/>
          <w:szCs w:val="32"/>
        </w:rPr>
        <w:t>2</w:t>
      </w:r>
      <w:r w:rsidRPr="009510FE">
        <w:rPr>
          <w:rFonts w:hint="eastAsia"/>
          <w:szCs w:val="32"/>
        </w:rPr>
        <w:t>人、杰青</w:t>
      </w:r>
      <w:r w:rsidRPr="009510FE">
        <w:rPr>
          <w:rFonts w:hint="eastAsia"/>
          <w:szCs w:val="32"/>
        </w:rPr>
        <w:t>1</w:t>
      </w:r>
      <w:r w:rsidRPr="009510FE">
        <w:rPr>
          <w:rFonts w:hint="eastAsia"/>
          <w:szCs w:val="32"/>
        </w:rPr>
        <w:t>人，</w:t>
      </w:r>
      <w:proofErr w:type="gramStart"/>
      <w:r w:rsidRPr="009510FE">
        <w:rPr>
          <w:rFonts w:hint="eastAsia"/>
          <w:szCs w:val="32"/>
        </w:rPr>
        <w:t>国际院士</w:t>
      </w:r>
      <w:proofErr w:type="gramEnd"/>
      <w:r w:rsidRPr="009510FE">
        <w:rPr>
          <w:rFonts w:hint="eastAsia"/>
          <w:szCs w:val="32"/>
        </w:rPr>
        <w:t>7</w:t>
      </w:r>
      <w:r w:rsidRPr="009510FE">
        <w:rPr>
          <w:rFonts w:hint="eastAsia"/>
          <w:szCs w:val="32"/>
        </w:rPr>
        <w:t>人，省双创博士（团队）</w:t>
      </w:r>
      <w:r w:rsidRPr="009510FE">
        <w:rPr>
          <w:rFonts w:hint="eastAsia"/>
          <w:szCs w:val="32"/>
        </w:rPr>
        <w:t>6</w:t>
      </w:r>
      <w:r w:rsidRPr="009510FE">
        <w:rPr>
          <w:rFonts w:hint="eastAsia"/>
          <w:szCs w:val="32"/>
        </w:rPr>
        <w:t>人</w:t>
      </w:r>
      <w:r w:rsidRPr="009510FE">
        <w:rPr>
          <w:szCs w:val="32"/>
        </w:rPr>
        <w:t>；</w:t>
      </w:r>
      <w:r w:rsidRPr="009510FE">
        <w:rPr>
          <w:rFonts w:hint="eastAsia"/>
          <w:szCs w:val="32"/>
        </w:rPr>
        <w:t>牵头或参与</w:t>
      </w:r>
      <w:r w:rsidRPr="009510FE">
        <w:rPr>
          <w:szCs w:val="32"/>
        </w:rPr>
        <w:t>省级以上科技</w:t>
      </w:r>
      <w:r>
        <w:rPr>
          <w:rFonts w:hint="eastAsia"/>
          <w:szCs w:val="32"/>
        </w:rPr>
        <w:t>计划</w:t>
      </w:r>
      <w:r w:rsidRPr="009510FE">
        <w:rPr>
          <w:szCs w:val="32"/>
        </w:rPr>
        <w:t>项目</w:t>
      </w:r>
      <w:r w:rsidRPr="009510FE">
        <w:rPr>
          <w:rFonts w:hint="eastAsia"/>
          <w:szCs w:val="32"/>
        </w:rPr>
        <w:t>62</w:t>
      </w:r>
      <w:r w:rsidRPr="009510FE">
        <w:rPr>
          <w:szCs w:val="32"/>
        </w:rPr>
        <w:t>项</w:t>
      </w:r>
      <w:r w:rsidRPr="009510FE">
        <w:rPr>
          <w:rFonts w:hint="eastAsia"/>
          <w:szCs w:val="32"/>
        </w:rPr>
        <w:t>，</w:t>
      </w:r>
      <w:r w:rsidRPr="009510FE">
        <w:rPr>
          <w:szCs w:val="32"/>
        </w:rPr>
        <w:t>其中国家级</w:t>
      </w:r>
      <w:r w:rsidRPr="009510FE">
        <w:rPr>
          <w:rFonts w:hint="eastAsia"/>
          <w:szCs w:val="32"/>
        </w:rPr>
        <w:t>43</w:t>
      </w:r>
      <w:r w:rsidRPr="009510FE">
        <w:rPr>
          <w:szCs w:val="32"/>
        </w:rPr>
        <w:t>项</w:t>
      </w:r>
      <w:r>
        <w:rPr>
          <w:rFonts w:hint="eastAsia"/>
          <w:szCs w:val="32"/>
        </w:rPr>
        <w:t>；</w:t>
      </w:r>
      <w:r w:rsidRPr="009510FE">
        <w:rPr>
          <w:szCs w:val="32"/>
        </w:rPr>
        <w:t>申请</w:t>
      </w:r>
      <w:r w:rsidRPr="009510FE">
        <w:rPr>
          <w:rFonts w:hint="eastAsia"/>
          <w:szCs w:val="32"/>
        </w:rPr>
        <w:t>和授权发明</w:t>
      </w:r>
      <w:r w:rsidRPr="009510FE">
        <w:rPr>
          <w:szCs w:val="32"/>
        </w:rPr>
        <w:t>专利</w:t>
      </w:r>
      <w:r w:rsidRPr="009510FE">
        <w:rPr>
          <w:szCs w:val="32"/>
        </w:rPr>
        <w:t>1</w:t>
      </w:r>
      <w:r w:rsidRPr="009510FE">
        <w:rPr>
          <w:rFonts w:hint="eastAsia"/>
          <w:szCs w:val="32"/>
        </w:rPr>
        <w:t>45</w:t>
      </w:r>
      <w:r w:rsidRPr="009510FE">
        <w:rPr>
          <w:rFonts w:hint="eastAsia"/>
          <w:szCs w:val="32"/>
        </w:rPr>
        <w:t>件</w:t>
      </w:r>
      <w:r w:rsidRPr="009510FE">
        <w:rPr>
          <w:szCs w:val="32"/>
        </w:rPr>
        <w:t>，发表</w:t>
      </w:r>
      <w:r w:rsidRPr="009510FE">
        <w:rPr>
          <w:szCs w:val="32"/>
        </w:rPr>
        <w:t>SCI</w:t>
      </w:r>
      <w:r w:rsidRPr="009510FE">
        <w:rPr>
          <w:szCs w:val="32"/>
        </w:rPr>
        <w:t>学术论文</w:t>
      </w:r>
      <w:r w:rsidRPr="009510FE">
        <w:rPr>
          <w:szCs w:val="32"/>
        </w:rPr>
        <w:t>2</w:t>
      </w:r>
      <w:r w:rsidRPr="009510FE">
        <w:rPr>
          <w:rFonts w:hint="eastAsia"/>
          <w:szCs w:val="32"/>
        </w:rPr>
        <w:t>01</w:t>
      </w:r>
      <w:r w:rsidRPr="009510FE">
        <w:rPr>
          <w:szCs w:val="32"/>
        </w:rPr>
        <w:t>篇</w:t>
      </w:r>
      <w:r w:rsidRPr="009510FE">
        <w:rPr>
          <w:rFonts w:hint="eastAsia"/>
          <w:szCs w:val="32"/>
        </w:rPr>
        <w:t>，其中一区</w:t>
      </w:r>
      <w:r w:rsidRPr="009510FE">
        <w:rPr>
          <w:rFonts w:hint="eastAsia"/>
          <w:szCs w:val="32"/>
        </w:rPr>
        <w:t>20</w:t>
      </w:r>
      <w:r w:rsidRPr="009510FE">
        <w:rPr>
          <w:rFonts w:hint="eastAsia"/>
          <w:szCs w:val="32"/>
        </w:rPr>
        <w:t>篇；</w:t>
      </w:r>
      <w:r w:rsidRPr="009510FE">
        <w:rPr>
          <w:szCs w:val="32"/>
        </w:rPr>
        <w:t>获省</w:t>
      </w:r>
      <w:r w:rsidRPr="009510FE">
        <w:rPr>
          <w:rFonts w:hint="eastAsia"/>
          <w:szCs w:val="32"/>
        </w:rPr>
        <w:t>部</w:t>
      </w:r>
      <w:r w:rsidRPr="009510FE">
        <w:rPr>
          <w:szCs w:val="32"/>
        </w:rPr>
        <w:t>级以上科技奖励</w:t>
      </w:r>
      <w:r w:rsidRPr="009510FE">
        <w:rPr>
          <w:rFonts w:hint="eastAsia"/>
          <w:szCs w:val="32"/>
        </w:rPr>
        <w:t>11</w:t>
      </w:r>
      <w:r w:rsidRPr="009510FE">
        <w:rPr>
          <w:szCs w:val="32"/>
        </w:rPr>
        <w:t>项，</w:t>
      </w:r>
      <w:r>
        <w:rPr>
          <w:rFonts w:hint="eastAsia"/>
          <w:szCs w:val="32"/>
        </w:rPr>
        <w:t>其中国家技术发明二等奖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项；</w:t>
      </w:r>
      <w:r w:rsidRPr="009510FE">
        <w:rPr>
          <w:rFonts w:hint="eastAsia"/>
          <w:szCs w:val="32"/>
        </w:rPr>
        <w:t>积极</w:t>
      </w:r>
      <w:r w:rsidRPr="009510FE">
        <w:rPr>
          <w:szCs w:val="32"/>
        </w:rPr>
        <w:t>开展产学研合作项目，</w:t>
      </w:r>
      <w:r w:rsidRPr="009510FE">
        <w:rPr>
          <w:rFonts w:hint="eastAsia"/>
          <w:szCs w:val="32"/>
        </w:rPr>
        <w:lastRenderedPageBreak/>
        <w:t>取得了良好的经济和社会效益。</w:t>
      </w:r>
    </w:p>
    <w:p w14:paraId="6FD9ADFC" w14:textId="77777777" w:rsidR="00FC5F5C" w:rsidRPr="00435D9E" w:rsidRDefault="00FC5F5C" w:rsidP="00524214">
      <w:pPr>
        <w:spacing w:line="590" w:lineRule="exact"/>
        <w:ind w:firstLineChars="200" w:firstLine="630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</w:t>
      </w:r>
      <w:r w:rsidRPr="00435D9E">
        <w:rPr>
          <w:rFonts w:ascii="黑体" w:eastAsia="黑体" w:hAnsi="黑体"/>
          <w:szCs w:val="32"/>
        </w:rPr>
        <w:t>、整改</w:t>
      </w:r>
      <w:r>
        <w:rPr>
          <w:rFonts w:ascii="黑体" w:eastAsia="黑体" w:hAnsi="黑体" w:hint="eastAsia"/>
          <w:szCs w:val="32"/>
        </w:rPr>
        <w:t>复评</w:t>
      </w:r>
      <w:r w:rsidRPr="00435D9E">
        <w:rPr>
          <w:rFonts w:ascii="黑体" w:eastAsia="黑体" w:hAnsi="黑体"/>
          <w:szCs w:val="32"/>
        </w:rPr>
        <w:t>结果</w:t>
      </w:r>
    </w:p>
    <w:p w14:paraId="0CF48A8C" w14:textId="77777777" w:rsidR="00FC5F5C" w:rsidRPr="00435D9E" w:rsidRDefault="00FC5F5C" w:rsidP="00524214">
      <w:pPr>
        <w:spacing w:line="590" w:lineRule="exact"/>
        <w:ind w:firstLineChars="200" w:firstLine="630"/>
        <w:rPr>
          <w:szCs w:val="32"/>
        </w:rPr>
      </w:pPr>
      <w:r w:rsidRPr="00435D9E">
        <w:rPr>
          <w:szCs w:val="32"/>
        </w:rPr>
        <w:t>根据专家</w:t>
      </w:r>
      <w:r>
        <w:rPr>
          <w:rFonts w:hint="eastAsia"/>
          <w:szCs w:val="32"/>
        </w:rPr>
        <w:t>定性</w:t>
      </w:r>
      <w:r w:rsidRPr="00435D9E">
        <w:rPr>
          <w:szCs w:val="32"/>
        </w:rPr>
        <w:t>评价结果，</w:t>
      </w:r>
      <w:r>
        <w:rPr>
          <w:rFonts w:hint="eastAsia"/>
          <w:szCs w:val="32"/>
        </w:rPr>
        <w:t>4</w:t>
      </w:r>
      <w:r w:rsidRPr="00435D9E">
        <w:rPr>
          <w:szCs w:val="32"/>
        </w:rPr>
        <w:t>家省重点实验室均整改通过，</w:t>
      </w:r>
      <w:r>
        <w:rPr>
          <w:rFonts w:hint="eastAsia"/>
          <w:szCs w:val="32"/>
        </w:rPr>
        <w:t>复评</w:t>
      </w:r>
      <w:r w:rsidRPr="00435D9E">
        <w:rPr>
          <w:szCs w:val="32"/>
        </w:rPr>
        <w:t>结果为</w:t>
      </w:r>
      <w:r>
        <w:rPr>
          <w:rFonts w:hint="eastAsia"/>
          <w:szCs w:val="32"/>
        </w:rPr>
        <w:t>“</w:t>
      </w:r>
      <w:r w:rsidRPr="00435D9E">
        <w:rPr>
          <w:szCs w:val="32"/>
        </w:rPr>
        <w:t>合格</w:t>
      </w:r>
      <w:r>
        <w:rPr>
          <w:rFonts w:hint="eastAsia"/>
          <w:szCs w:val="32"/>
        </w:rPr>
        <w:t>”</w:t>
      </w:r>
      <w:r w:rsidRPr="00435D9E">
        <w:rPr>
          <w:szCs w:val="32"/>
        </w:rPr>
        <w:t>等次。</w:t>
      </w:r>
    </w:p>
    <w:p w14:paraId="1C73C2DA" w14:textId="397F3D8A" w:rsidR="00FC5F5C" w:rsidRDefault="00FC5F5C" w:rsidP="00524214">
      <w:pPr>
        <w:spacing w:line="590" w:lineRule="exact"/>
        <w:ind w:firstLineChars="200" w:firstLine="630"/>
        <w:rPr>
          <w:szCs w:val="32"/>
        </w:rPr>
      </w:pPr>
      <w:r w:rsidRPr="00435D9E">
        <w:rPr>
          <w:szCs w:val="32"/>
        </w:rPr>
        <w:t>希望各重点实验室、依托单位和主管部门</w:t>
      </w:r>
      <w:r>
        <w:rPr>
          <w:rFonts w:hint="eastAsia"/>
          <w:szCs w:val="32"/>
        </w:rPr>
        <w:t>高度重视省重点实验室的建设和发展，坚持问题导向和需求导向，加强基础研究、应用基础研究和前沿技术研究，不断提升实验室解决重大科学问题、突破核心关键技术和产生重大标志性原创成果的能力，为我省科技创新高质量发展提供引领和支撑。</w:t>
      </w:r>
    </w:p>
    <w:p w14:paraId="2006DC32" w14:textId="77777777" w:rsidR="00FC5F5C" w:rsidRPr="00435D9E" w:rsidRDefault="00FC5F5C" w:rsidP="00524214">
      <w:pPr>
        <w:spacing w:line="590" w:lineRule="exact"/>
        <w:rPr>
          <w:szCs w:val="32"/>
        </w:rPr>
      </w:pPr>
    </w:p>
    <w:p w14:paraId="423A2A14" w14:textId="77777777" w:rsidR="00FC5F5C" w:rsidRPr="00435D9E" w:rsidRDefault="00FC5F5C" w:rsidP="00524214">
      <w:pPr>
        <w:spacing w:line="590" w:lineRule="exact"/>
        <w:ind w:firstLineChars="200" w:firstLine="630"/>
        <w:rPr>
          <w:szCs w:val="32"/>
        </w:rPr>
      </w:pPr>
      <w:r w:rsidRPr="00435D9E">
        <w:rPr>
          <w:szCs w:val="32"/>
        </w:rPr>
        <w:t>附件：江苏省重点实验室整改</w:t>
      </w:r>
      <w:r>
        <w:rPr>
          <w:rFonts w:hint="eastAsia"/>
          <w:szCs w:val="32"/>
        </w:rPr>
        <w:t>复评</w:t>
      </w:r>
      <w:r w:rsidRPr="00435D9E">
        <w:rPr>
          <w:rFonts w:hint="eastAsia"/>
          <w:szCs w:val="32"/>
        </w:rPr>
        <w:t>结果及</w:t>
      </w:r>
      <w:r w:rsidRPr="00435D9E">
        <w:rPr>
          <w:szCs w:val="32"/>
        </w:rPr>
        <w:t>意见</w:t>
      </w:r>
    </w:p>
    <w:p w14:paraId="4C6D18C8" w14:textId="77777777" w:rsidR="00FC5F5C" w:rsidRDefault="00FC5F5C" w:rsidP="00524214">
      <w:pPr>
        <w:spacing w:line="590" w:lineRule="exact"/>
        <w:ind w:firstLineChars="200" w:firstLine="630"/>
        <w:rPr>
          <w:szCs w:val="32"/>
        </w:rPr>
      </w:pPr>
    </w:p>
    <w:p w14:paraId="4A1FF176" w14:textId="367A9EE5" w:rsidR="00FC5F5C" w:rsidRDefault="00FC5F5C" w:rsidP="00524214">
      <w:pPr>
        <w:spacing w:line="590" w:lineRule="exact"/>
        <w:ind w:firstLineChars="200" w:firstLine="630"/>
        <w:rPr>
          <w:rFonts w:hint="eastAsia"/>
          <w:szCs w:val="32"/>
        </w:rPr>
      </w:pPr>
    </w:p>
    <w:p w14:paraId="3143ECB5" w14:textId="77777777" w:rsidR="00BF2981" w:rsidRDefault="00BF2981" w:rsidP="00524214">
      <w:pPr>
        <w:spacing w:line="590" w:lineRule="exact"/>
        <w:ind w:firstLineChars="200" w:firstLine="630"/>
        <w:rPr>
          <w:szCs w:val="32"/>
        </w:rPr>
      </w:pPr>
    </w:p>
    <w:p w14:paraId="192E8A70" w14:textId="77777777" w:rsidR="00524214" w:rsidRPr="00113377" w:rsidRDefault="00524214" w:rsidP="00524214">
      <w:pPr>
        <w:spacing w:line="590" w:lineRule="exact"/>
        <w:ind w:firstLineChars="200" w:firstLine="630"/>
        <w:rPr>
          <w:szCs w:val="32"/>
        </w:rPr>
      </w:pPr>
    </w:p>
    <w:p w14:paraId="1246B35B" w14:textId="77777777" w:rsidR="00482C22" w:rsidRDefault="00980879" w:rsidP="00524214">
      <w:pPr>
        <w:pStyle w:val="af0"/>
        <w:tabs>
          <w:tab w:val="left" w:pos="1442"/>
        </w:tabs>
        <w:spacing w:line="590" w:lineRule="exact"/>
        <w:ind w:leftChars="1500" w:left="4725" w:rightChars="350" w:right="1103" w:firstLine="0"/>
        <w:jc w:val="center"/>
      </w:pPr>
      <w:r>
        <w:rPr>
          <w:rFonts w:hint="eastAsia"/>
        </w:rPr>
        <w:t>江苏省</w:t>
      </w:r>
      <w:r w:rsidR="00826ED1">
        <w:rPr>
          <w:rFonts w:hint="eastAsia"/>
        </w:rPr>
        <w:t>科</w:t>
      </w:r>
      <w:r w:rsidR="006A76ED">
        <w:rPr>
          <w:rFonts w:hint="eastAsia"/>
        </w:rPr>
        <w:t>学</w:t>
      </w:r>
      <w:r w:rsidR="00826ED1">
        <w:rPr>
          <w:rFonts w:hint="eastAsia"/>
        </w:rPr>
        <w:t>技</w:t>
      </w:r>
      <w:r w:rsidR="006A76ED">
        <w:rPr>
          <w:rFonts w:hint="eastAsia"/>
        </w:rPr>
        <w:t>术</w:t>
      </w:r>
      <w:r>
        <w:rPr>
          <w:rFonts w:hint="eastAsia"/>
        </w:rPr>
        <w:t>厅</w:t>
      </w:r>
    </w:p>
    <w:p w14:paraId="3F56D6DE" w14:textId="49392B6E" w:rsidR="002F1845" w:rsidRDefault="00B27B06" w:rsidP="00524214">
      <w:pPr>
        <w:spacing w:line="590" w:lineRule="exact"/>
        <w:ind w:leftChars="1500" w:left="4725" w:rightChars="350" w:right="1103" w:firstLine="0"/>
        <w:jc w:val="center"/>
      </w:pPr>
      <w:r>
        <w:rPr>
          <w:rFonts w:hint="eastAsia"/>
        </w:rPr>
        <w:t>20</w:t>
      </w:r>
      <w:r w:rsidR="00FC5F5C">
        <w:t>21</w:t>
      </w:r>
      <w:r w:rsidR="00482C22">
        <w:rPr>
          <w:rFonts w:hint="eastAsia"/>
        </w:rPr>
        <w:t>年</w:t>
      </w:r>
      <w:r w:rsidR="00FC5F5C">
        <w:rPr>
          <w:rFonts w:hint="eastAsia"/>
        </w:rPr>
        <w:t>1</w:t>
      </w:r>
      <w:r w:rsidR="00FC5F5C">
        <w:t>1</w:t>
      </w:r>
      <w:r w:rsidR="00482C22">
        <w:rPr>
          <w:rFonts w:hint="eastAsia"/>
        </w:rPr>
        <w:t>月</w:t>
      </w:r>
      <w:r w:rsidR="00BF2981">
        <w:rPr>
          <w:rFonts w:hint="eastAsia"/>
        </w:rPr>
        <w:t>15</w:t>
      </w:r>
      <w:r w:rsidR="00482C22">
        <w:rPr>
          <w:rFonts w:hint="eastAsia"/>
        </w:rPr>
        <w:t>日</w:t>
      </w:r>
    </w:p>
    <w:p w14:paraId="6214D661" w14:textId="51CE5AFF" w:rsidR="00FC5F5C" w:rsidRDefault="00FC5F5C" w:rsidP="00524214">
      <w:pPr>
        <w:spacing w:line="590" w:lineRule="exact"/>
        <w:ind w:rightChars="350" w:right="1103"/>
      </w:pPr>
      <w:r>
        <w:rPr>
          <w:rFonts w:hint="eastAsia"/>
        </w:rPr>
        <w:t>（此件主动公开）</w:t>
      </w:r>
    </w:p>
    <w:p w14:paraId="7485D98D" w14:textId="77777777" w:rsidR="00FF0A07" w:rsidRDefault="00FF0A07" w:rsidP="00524214">
      <w:pPr>
        <w:spacing w:line="590" w:lineRule="exact"/>
        <w:ind w:rightChars="350" w:right="1103"/>
      </w:pPr>
    </w:p>
    <w:p w14:paraId="7D1A0673" w14:textId="09306D5F" w:rsidR="00FC5F5C" w:rsidRDefault="00FC5F5C" w:rsidP="00FC5F5C">
      <w:pPr>
        <w:ind w:leftChars="1500" w:left="4725" w:rightChars="350" w:right="1103" w:firstLine="0"/>
        <w:jc w:val="center"/>
        <w:rPr>
          <w:rFonts w:hint="eastAsia"/>
        </w:rPr>
      </w:pPr>
    </w:p>
    <w:p w14:paraId="15DCBC1D" w14:textId="77777777" w:rsidR="00BF2981" w:rsidRDefault="00BF2981" w:rsidP="00BF2981">
      <w:pPr>
        <w:spacing w:line="240" w:lineRule="exact"/>
        <w:ind w:leftChars="1500" w:left="4725" w:rightChars="350" w:right="1103" w:firstLine="0"/>
        <w:jc w:val="center"/>
      </w:pPr>
    </w:p>
    <w:p w14:paraId="09A111C0" w14:textId="77777777" w:rsidR="00A71F3B" w:rsidRPr="00D32BAD" w:rsidRDefault="00A71F3B" w:rsidP="00A71F3B">
      <w:pPr>
        <w:pStyle w:val="ab"/>
        <w:snapToGrid w:val="0"/>
        <w:spacing w:line="100" w:lineRule="atLeast"/>
        <w:ind w:left="-57" w:right="-57"/>
        <w:rPr>
          <w:noProof/>
          <w:sz w:val="28"/>
          <w:szCs w:val="28"/>
        </w:rPr>
      </w:pPr>
      <w:r w:rsidRPr="00D32BAD">
        <w:rPr>
          <w:rFonts w:hint="eastAsia"/>
          <w:noProof/>
          <w:sz w:val="28"/>
          <w:szCs w:val="28"/>
        </w:rPr>
        <w:object w:dxaOrig="13870" w:dyaOrig="40" w14:anchorId="1E354BC0">
          <v:shape id="_x0000_i1026" type="#_x0000_t75" style="width:442.05pt;height:1.65pt" o:ole="" o:preferrelative="f" fillcolor="window">
            <v:imagedata r:id="rId10" o:title=""/>
            <o:lock v:ext="edit" aspectratio="f"/>
          </v:shape>
          <o:OLEObject Type="Embed" ProgID="MSDraw" ShapeID="_x0000_i1026" DrawAspect="Content" ObjectID="_1698557469" r:id="rId11">
            <o:FieldCodes>\* MERGEFORMAT</o:FieldCodes>
          </o:OLEObject>
        </w:object>
      </w:r>
    </w:p>
    <w:p w14:paraId="03329C90" w14:textId="6768BF2F" w:rsidR="00A71F3B" w:rsidRPr="00D32BAD" w:rsidRDefault="00A71F3B" w:rsidP="00A71F3B">
      <w:pPr>
        <w:pStyle w:val="ac"/>
        <w:tabs>
          <w:tab w:val="clear" w:pos="8465"/>
          <w:tab w:val="right" w:pos="8533"/>
        </w:tabs>
        <w:spacing w:after="40" w:line="454" w:lineRule="exact"/>
        <w:ind w:left="312" w:right="0"/>
        <w:rPr>
          <w:sz w:val="28"/>
          <w:szCs w:val="28"/>
        </w:rPr>
      </w:pPr>
      <w:r w:rsidRPr="00D32BAD">
        <w:rPr>
          <w:rFonts w:hint="eastAsia"/>
          <w:sz w:val="28"/>
          <w:szCs w:val="28"/>
        </w:rPr>
        <w:t>江苏省</w:t>
      </w:r>
      <w:r w:rsidR="00826ED1">
        <w:rPr>
          <w:rFonts w:hint="eastAsia"/>
          <w:sz w:val="28"/>
          <w:szCs w:val="28"/>
        </w:rPr>
        <w:t>科</w:t>
      </w:r>
      <w:r w:rsidR="006A76ED">
        <w:rPr>
          <w:rFonts w:hint="eastAsia"/>
          <w:sz w:val="28"/>
          <w:szCs w:val="28"/>
        </w:rPr>
        <w:t>学</w:t>
      </w:r>
      <w:r w:rsidR="00826ED1">
        <w:rPr>
          <w:rFonts w:hint="eastAsia"/>
          <w:sz w:val="28"/>
          <w:szCs w:val="28"/>
        </w:rPr>
        <w:t>技</w:t>
      </w:r>
      <w:r w:rsidR="006A76ED">
        <w:rPr>
          <w:rFonts w:hint="eastAsia"/>
          <w:sz w:val="28"/>
          <w:szCs w:val="28"/>
        </w:rPr>
        <w:t>术</w:t>
      </w:r>
      <w:r w:rsidR="002F1845">
        <w:rPr>
          <w:rFonts w:hint="eastAsia"/>
          <w:sz w:val="28"/>
          <w:szCs w:val="28"/>
        </w:rPr>
        <w:t>厅</w:t>
      </w:r>
      <w:r w:rsidRPr="00D32BAD">
        <w:rPr>
          <w:rFonts w:hint="eastAsia"/>
          <w:sz w:val="28"/>
          <w:szCs w:val="28"/>
        </w:rPr>
        <w:t>办公</w:t>
      </w:r>
      <w:r w:rsidR="002F1845">
        <w:rPr>
          <w:rFonts w:hint="eastAsia"/>
          <w:sz w:val="28"/>
          <w:szCs w:val="28"/>
        </w:rPr>
        <w:t>室</w:t>
      </w:r>
      <w:r w:rsidRPr="00D32BAD">
        <w:rPr>
          <w:sz w:val="28"/>
          <w:szCs w:val="28"/>
        </w:rPr>
        <w:tab/>
        <w:t>20</w:t>
      </w:r>
      <w:r w:rsidR="00FC5F5C">
        <w:rPr>
          <w:sz w:val="28"/>
          <w:szCs w:val="28"/>
        </w:rPr>
        <w:t>21</w:t>
      </w:r>
      <w:r w:rsidRPr="00D32BAD">
        <w:rPr>
          <w:rFonts w:hint="eastAsia"/>
          <w:sz w:val="28"/>
          <w:szCs w:val="28"/>
        </w:rPr>
        <w:t>年</w:t>
      </w:r>
      <w:r w:rsidR="00FC5F5C">
        <w:rPr>
          <w:sz w:val="28"/>
          <w:szCs w:val="28"/>
        </w:rPr>
        <w:t>11</w:t>
      </w:r>
      <w:r w:rsidRPr="00D32BAD">
        <w:rPr>
          <w:rFonts w:hint="eastAsia"/>
          <w:sz w:val="28"/>
          <w:szCs w:val="28"/>
        </w:rPr>
        <w:t>月</w:t>
      </w:r>
      <w:r w:rsidR="00BF2981">
        <w:rPr>
          <w:rFonts w:hint="eastAsia"/>
          <w:sz w:val="28"/>
          <w:szCs w:val="28"/>
        </w:rPr>
        <w:t>15</w:t>
      </w:r>
      <w:bookmarkStart w:id="16" w:name="_GoBack"/>
      <w:bookmarkEnd w:id="16"/>
      <w:r w:rsidRPr="00D32BAD">
        <w:rPr>
          <w:rFonts w:hint="eastAsia"/>
          <w:sz w:val="28"/>
          <w:szCs w:val="28"/>
        </w:rPr>
        <w:t>日印发</w:t>
      </w:r>
    </w:p>
    <w:p w14:paraId="63BB86EF" w14:textId="2F97D734" w:rsidR="00FC5F5C" w:rsidRPr="00FC5F5C" w:rsidRDefault="00A71F3B" w:rsidP="00FC5F5C">
      <w:pPr>
        <w:pStyle w:val="ab"/>
        <w:snapToGrid w:val="0"/>
        <w:spacing w:line="100" w:lineRule="atLeast"/>
        <w:ind w:left="-57" w:right="-57"/>
        <w:rPr>
          <w:noProof/>
        </w:rPr>
      </w:pPr>
      <w:r>
        <w:rPr>
          <w:rFonts w:hint="eastAsia"/>
          <w:noProof/>
        </w:rPr>
        <w:object w:dxaOrig="7615" w:dyaOrig="40" w14:anchorId="7DA7B633">
          <v:shape id="_x0000_i1027" type="#_x0000_t75" style="width:442.9pt;height:1.65pt" o:ole="" fillcolor="window">
            <v:imagedata r:id="rId12" o:title=""/>
            <o:lock v:ext="edit" aspectratio="f"/>
          </v:shape>
          <o:OLEObject Type="Embed" ProgID="MSDraw" ShapeID="_x0000_i1027" DrawAspect="Content" ObjectID="_1698557470" r:id="rId13">
            <o:FieldCodes>\* MERGEFORMAT</o:FieldCodes>
          </o:OLEObject>
        </w:object>
      </w:r>
    </w:p>
    <w:sectPr w:rsidR="00FC5F5C" w:rsidRPr="00FC5F5C" w:rsidSect="00B27B06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405DF" w14:textId="77777777" w:rsidR="00971CC1" w:rsidRDefault="00971CC1">
      <w:r>
        <w:separator/>
      </w:r>
    </w:p>
    <w:p w14:paraId="66F20943" w14:textId="77777777" w:rsidR="00971CC1" w:rsidRDefault="00971CC1"/>
  </w:endnote>
  <w:endnote w:type="continuationSeparator" w:id="0">
    <w:p w14:paraId="157A2969" w14:textId="77777777" w:rsidR="00971CC1" w:rsidRDefault="00971CC1">
      <w:r>
        <w:continuationSeparator/>
      </w:r>
    </w:p>
    <w:p w14:paraId="0A9356DF" w14:textId="77777777" w:rsidR="00971CC1" w:rsidRDefault="00971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A5816" w14:textId="77777777" w:rsidR="00DD696D" w:rsidRDefault="00DD696D" w:rsidP="00787BD2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F2981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7FC5F" w14:textId="77777777" w:rsidR="00DD696D" w:rsidRDefault="00DD696D" w:rsidP="00787BD2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F2981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99212" w14:textId="77777777" w:rsidR="00971CC1" w:rsidRDefault="00971CC1">
      <w:r>
        <w:separator/>
      </w:r>
    </w:p>
    <w:p w14:paraId="04B59722" w14:textId="77777777" w:rsidR="00971CC1" w:rsidRDefault="00971CC1"/>
  </w:footnote>
  <w:footnote w:type="continuationSeparator" w:id="0">
    <w:p w14:paraId="7E8C5EF0" w14:textId="77777777" w:rsidR="00971CC1" w:rsidRDefault="00971CC1">
      <w:r>
        <w:continuationSeparator/>
      </w:r>
    </w:p>
    <w:p w14:paraId="6A231585" w14:textId="77777777" w:rsidR="00971CC1" w:rsidRDefault="00971C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45AF3" w14:textId="77777777" w:rsidR="00DD696D" w:rsidRDefault="00DD696D" w:rsidP="00B27B0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CF220" w14:textId="77777777" w:rsidR="00DD696D" w:rsidRDefault="00DD696D">
    <w:pPr>
      <w:pStyle w:val="a3"/>
      <w:pBdr>
        <w:bottom w:val="none" w:sz="0" w:space="0" w:color="auto"/>
      </w:pBdr>
    </w:pPr>
  </w:p>
  <w:p w14:paraId="5B316521" w14:textId="77777777" w:rsidR="00DD696D" w:rsidRDefault="00DD69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4E3"/>
    <w:multiLevelType w:val="singleLevel"/>
    <w:tmpl w:val="121ADED2"/>
    <w:lvl w:ilvl="0">
      <w:start w:val="1999"/>
      <w:numFmt w:val="japaneseCounting"/>
      <w:lvlText w:val="%1年"/>
      <w:lvlJc w:val="left"/>
      <w:pPr>
        <w:tabs>
          <w:tab w:val="num" w:pos="1845"/>
        </w:tabs>
        <w:ind w:left="1845" w:hanging="18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5C"/>
    <w:rsid w:val="00015680"/>
    <w:rsid w:val="00041FDE"/>
    <w:rsid w:val="001C6E41"/>
    <w:rsid w:val="00223A0A"/>
    <w:rsid w:val="00247059"/>
    <w:rsid w:val="00284AAB"/>
    <w:rsid w:val="002A618A"/>
    <w:rsid w:val="002F1845"/>
    <w:rsid w:val="0031518A"/>
    <w:rsid w:val="00411A4D"/>
    <w:rsid w:val="00447094"/>
    <w:rsid w:val="004569EF"/>
    <w:rsid w:val="00482C22"/>
    <w:rsid w:val="00524214"/>
    <w:rsid w:val="005F6BC3"/>
    <w:rsid w:val="006207E6"/>
    <w:rsid w:val="006271DF"/>
    <w:rsid w:val="00632C2D"/>
    <w:rsid w:val="006A76ED"/>
    <w:rsid w:val="006C4D1A"/>
    <w:rsid w:val="006C7751"/>
    <w:rsid w:val="00753C24"/>
    <w:rsid w:val="00765C45"/>
    <w:rsid w:val="00787BD2"/>
    <w:rsid w:val="00826ED1"/>
    <w:rsid w:val="008625C4"/>
    <w:rsid w:val="008D01A5"/>
    <w:rsid w:val="008E0A7C"/>
    <w:rsid w:val="008F1E80"/>
    <w:rsid w:val="00971CC1"/>
    <w:rsid w:val="00980879"/>
    <w:rsid w:val="009866B4"/>
    <w:rsid w:val="009D3210"/>
    <w:rsid w:val="009F4A8A"/>
    <w:rsid w:val="00A71F3B"/>
    <w:rsid w:val="00A74294"/>
    <w:rsid w:val="00AE533F"/>
    <w:rsid w:val="00B07030"/>
    <w:rsid w:val="00B27B06"/>
    <w:rsid w:val="00B57A44"/>
    <w:rsid w:val="00BB3E9F"/>
    <w:rsid w:val="00BE711D"/>
    <w:rsid w:val="00BF2981"/>
    <w:rsid w:val="00D0303E"/>
    <w:rsid w:val="00D32BAD"/>
    <w:rsid w:val="00D93361"/>
    <w:rsid w:val="00DB0FB3"/>
    <w:rsid w:val="00DD696D"/>
    <w:rsid w:val="00DF59AF"/>
    <w:rsid w:val="00E77B8C"/>
    <w:rsid w:val="00EF2DF1"/>
    <w:rsid w:val="00F40C57"/>
    <w:rsid w:val="00F923D5"/>
    <w:rsid w:val="00FC5F5C"/>
    <w:rsid w:val="00FE1FB5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E6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主题词"/>
    <w:basedOn w:val="a"/>
    <w:rsid w:val="00A71F3B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a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b">
    <w:name w:val="线型"/>
    <w:basedOn w:val="aa"/>
    <w:pPr>
      <w:spacing w:line="240" w:lineRule="auto"/>
      <w:ind w:left="0" w:firstLine="0"/>
      <w:jc w:val="center"/>
    </w:pPr>
    <w:rPr>
      <w:sz w:val="21"/>
    </w:rPr>
  </w:style>
  <w:style w:type="paragraph" w:customStyle="1" w:styleId="ac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d">
    <w:name w:val="印数"/>
    <w:basedOn w:val="ac"/>
    <w:pPr>
      <w:spacing w:line="400" w:lineRule="atLeast"/>
      <w:jc w:val="right"/>
    </w:pPr>
  </w:style>
  <w:style w:type="table" w:styleId="ae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0">
    <w:name w:val="附件栏"/>
    <w:basedOn w:val="a"/>
  </w:style>
  <w:style w:type="paragraph" w:customStyle="1" w:styleId="af1">
    <w:name w:val="紧急程度"/>
    <w:basedOn w:val="a7"/>
    <w:pPr>
      <w:overflowPunct w:val="0"/>
    </w:pPr>
    <w:rPr>
      <w:sz w:val="32"/>
    </w:rPr>
  </w:style>
  <w:style w:type="paragraph" w:customStyle="1" w:styleId="11">
    <w:name w:val="样式1"/>
    <w:basedOn w:val="a"/>
  </w:style>
  <w:style w:type="paragraph" w:customStyle="1" w:styleId="88526">
    <w:name w:val="样式 主题词 + 段后: 8.85 磅 行距: 固定值 26 磅"/>
    <w:basedOn w:val="a"/>
    <w:rsid w:val="00A71F3B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主题词"/>
    <w:basedOn w:val="a"/>
    <w:rsid w:val="00A71F3B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a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b">
    <w:name w:val="线型"/>
    <w:basedOn w:val="aa"/>
    <w:pPr>
      <w:spacing w:line="240" w:lineRule="auto"/>
      <w:ind w:left="0" w:firstLine="0"/>
      <w:jc w:val="center"/>
    </w:pPr>
    <w:rPr>
      <w:sz w:val="21"/>
    </w:rPr>
  </w:style>
  <w:style w:type="paragraph" w:customStyle="1" w:styleId="ac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d">
    <w:name w:val="印数"/>
    <w:basedOn w:val="ac"/>
    <w:pPr>
      <w:spacing w:line="400" w:lineRule="atLeast"/>
      <w:jc w:val="right"/>
    </w:pPr>
  </w:style>
  <w:style w:type="table" w:styleId="ae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0">
    <w:name w:val="附件栏"/>
    <w:basedOn w:val="a"/>
  </w:style>
  <w:style w:type="paragraph" w:customStyle="1" w:styleId="af1">
    <w:name w:val="紧急程度"/>
    <w:basedOn w:val="a7"/>
    <w:pPr>
      <w:overflowPunct w:val="0"/>
    </w:pPr>
    <w:rPr>
      <w:sz w:val="32"/>
    </w:rPr>
  </w:style>
  <w:style w:type="paragraph" w:customStyle="1" w:styleId="11">
    <w:name w:val="样式1"/>
    <w:basedOn w:val="a"/>
  </w:style>
  <w:style w:type="paragraph" w:customStyle="1" w:styleId="88526">
    <w:name w:val="样式 主题词 + 段后: 8.85 磅 行距: 固定值 26 磅"/>
    <w:basedOn w:val="a"/>
    <w:rsid w:val="00A71F3B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2&#24180;&#31185;&#25216;&#21381;&#25991;&#20214;&#27169;&#26495;\&#27743;&#33487;&#31185;&#25216;&#21381;&#25991;&#20214;&#19979;&#34892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江苏科技厅文件下行.dot</Template>
  <TotalTime>15</TotalTime>
  <Pages>1</Pages>
  <Words>187</Words>
  <Characters>1068</Characters>
  <Application>Microsoft Office Word</Application>
  <DocSecurity>0</DocSecurity>
  <Lines>8</Lines>
  <Paragraphs>2</Paragraphs>
  <ScaleCrop>false</ScaleCrop>
  <Company>wyk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</dc:title>
  <dc:subject/>
  <dc:creator>ZCH</dc:creator>
  <cp:keywords/>
  <cp:lastModifiedBy>马艳:文件排版</cp:lastModifiedBy>
  <cp:revision>6</cp:revision>
  <cp:lastPrinted>2021-11-15T06:06:00Z</cp:lastPrinted>
  <dcterms:created xsi:type="dcterms:W3CDTF">2021-11-12T01:51:00Z</dcterms:created>
  <dcterms:modified xsi:type="dcterms:W3CDTF">2021-11-16T00:45:00Z</dcterms:modified>
</cp:coreProperties>
</file>