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2021年基础研究试点拟立项项目清单</w:t>
      </w:r>
    </w:p>
    <w:p/>
    <w:tbl>
      <w:tblPr>
        <w:tblStyle w:val="2"/>
        <w:tblW w:w="5000" w:type="pct"/>
        <w:tblInd w:w="0" w:type="dxa"/>
        <w:tblLayout w:type="autofit"/>
        <w:tblCellMar>
          <w:top w:w="0" w:type="dxa"/>
          <w:left w:w="108" w:type="dxa"/>
          <w:bottom w:w="0" w:type="dxa"/>
          <w:right w:w="108" w:type="dxa"/>
        </w:tblCellMar>
      </w:tblPr>
      <w:tblGrid>
        <w:gridCol w:w="756"/>
        <w:gridCol w:w="1264"/>
        <w:gridCol w:w="8108"/>
        <w:gridCol w:w="1517"/>
        <w:gridCol w:w="2529"/>
      </w:tblGrid>
      <w:tr>
        <w:tblPrEx>
          <w:tblCellMar>
            <w:top w:w="0" w:type="dxa"/>
            <w:left w:w="108" w:type="dxa"/>
            <w:bottom w:w="0" w:type="dxa"/>
            <w:right w:w="108" w:type="dxa"/>
          </w:tblCellMar>
        </w:tblPrEx>
        <w:trPr>
          <w:trHeight w:val="270" w:hRule="atLeast"/>
          <w:tblHeader/>
        </w:trPr>
        <w:tc>
          <w:tcPr>
            <w:tcW w:w="26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color w:val="000000"/>
                <w:kern w:val="0"/>
                <w:sz w:val="22"/>
              </w:rPr>
            </w:pPr>
            <w:r>
              <w:rPr>
                <w:rFonts w:hint="eastAsia" w:ascii="宋体" w:hAnsi="宋体" w:cs="宋体"/>
                <w:b/>
                <w:color w:val="000000"/>
                <w:kern w:val="0"/>
                <w:sz w:val="22"/>
              </w:rPr>
              <w:t>序号</w:t>
            </w:r>
          </w:p>
        </w:tc>
        <w:tc>
          <w:tcPr>
            <w:tcW w:w="446"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b/>
                <w:color w:val="000000"/>
                <w:kern w:val="0"/>
                <w:sz w:val="22"/>
              </w:rPr>
            </w:pPr>
            <w:r>
              <w:rPr>
                <w:rFonts w:hint="eastAsia" w:ascii="宋体" w:hAnsi="宋体" w:cs="宋体"/>
                <w:b/>
                <w:color w:val="000000"/>
                <w:kern w:val="0"/>
                <w:sz w:val="22"/>
              </w:rPr>
              <w:t>项目类别</w:t>
            </w:r>
          </w:p>
        </w:tc>
        <w:tc>
          <w:tcPr>
            <w:tcW w:w="2860"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b/>
                <w:color w:val="000000"/>
                <w:kern w:val="0"/>
                <w:sz w:val="22"/>
              </w:rPr>
            </w:pPr>
            <w:r>
              <w:rPr>
                <w:rFonts w:hint="eastAsia" w:ascii="宋体" w:hAnsi="宋体" w:cs="宋体"/>
                <w:b/>
                <w:color w:val="000000"/>
                <w:kern w:val="0"/>
                <w:sz w:val="22"/>
              </w:rPr>
              <w:t>项目名称</w:t>
            </w:r>
          </w:p>
        </w:tc>
        <w:tc>
          <w:tcPr>
            <w:tcW w:w="535"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b/>
                <w:color w:val="000000"/>
                <w:kern w:val="0"/>
                <w:sz w:val="22"/>
              </w:rPr>
            </w:pPr>
            <w:r>
              <w:rPr>
                <w:rFonts w:hint="eastAsia" w:ascii="宋体" w:hAnsi="宋体" w:cs="宋体"/>
                <w:b/>
                <w:color w:val="000000"/>
                <w:kern w:val="0"/>
                <w:sz w:val="22"/>
              </w:rPr>
              <w:t>项目负责人</w:t>
            </w:r>
          </w:p>
        </w:tc>
        <w:tc>
          <w:tcPr>
            <w:tcW w:w="893" w:type="pct"/>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b/>
                <w:color w:val="000000"/>
                <w:kern w:val="0"/>
                <w:sz w:val="22"/>
              </w:rPr>
            </w:pPr>
            <w:r>
              <w:rPr>
                <w:rFonts w:hint="eastAsia" w:ascii="宋体" w:hAnsi="宋体" w:cs="宋体"/>
                <w:b/>
                <w:color w:val="000000"/>
                <w:kern w:val="0"/>
                <w:sz w:val="22"/>
              </w:rPr>
              <w:t>申报单位</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基于非病毒基因和药物纳米载体的胶质转分化神经元研究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陈光村</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中科院苏州纳米所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基于新型光场限制层的硅基GaN微环激光器研究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冯美鑫</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中科院苏州纳米所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基于纤维素纳米晶体的手性光学材料</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王佩玺</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中科院苏州纳米所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仿生型纳米载药系统用于放疗激活的脑胶质瘤免疫治疗研究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王  政</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中科院苏州纳米所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二维范德华异质结光子晶体发光器件的研究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张兴旺</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中科院苏州纳米所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法布里-珀罗型多彩电致变色技术的研发</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赵志刚</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中科院苏州纳米所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二维氮化物生长机理与新奇物性研究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宋文涛</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中科院苏州纳米所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Janus结构冷暖双功能薄膜构筑及其微环境调控性能研究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王  锦</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中科院苏州纳米所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二维有机拓扑材料验证及新奇物性</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李坊森</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中科院苏州纳米所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目标导向</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氮化镓非极性面和半极性面的表面结构和表面电子态研究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徐耿钊</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中科院苏州纳米所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目标导向</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生物3D打印构建活性仿生组织模型用于药物筛选研究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黄  洁</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中科院苏州纳米所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目标导向</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宽带消色差长波红外超表面透镜</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黄  伟</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中科院苏州纳米所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基于光神经网络的计算显微成像基础问题研究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李  辉</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中科院苏州医工所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恶性脑肿瘤免疫微环境细胞间沟通机制与微环境指标智能无创评估</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高  欣</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中科院苏州医工所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人自然发生抗体免疫机制探索及临床应用研究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李  勇</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中科院苏州医工所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功能DNA分子器件的搭建及生物分析研究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缪  鹏</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中科院苏州医工所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基于光热空化作用的微纳马达及细胞递药研究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张志强</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中科院苏州医工所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面向21-三体综合征的新型数字化检测技术开发</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殷  建</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中科院苏州医工所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单分子荧光基因测序方法研究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郭  振</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中科院苏州医工所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光治疗中的光敏氧化过程的数据驱动建模与量效研究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董建飞</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中科院苏州医工所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灵长类动物全景旋转内窥在体显微成像方法研究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李  敏</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中科院苏州医工所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目标导向</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基于人工智能病理图像分析的宫颈癌智能筛查系统研发及关键技术研究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赵凌霄</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中科院苏州医工所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目标导向</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先验知识驱动的数字乳腺断层合成摄影图像辅助诊断关键技术研究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郑  健</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中科院苏州医工所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目标导向</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小型SERF原子磁力计关键技术及应用研究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胡  涛</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中科院苏州医工所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目标导向</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生物介电特性在超短高压脉冲电场肿瘤消融实时评估中的应用研究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石富坤</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中科院苏州医工所</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CMOS光谱仪模组</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王  宇</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姑苏实验室</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固态纳米孔DNA测序仪及测序芯片</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胡  岚</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姑苏实验室</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前沿引领</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纳米气体传感器的人工嗅觉平台</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孙旭辉</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姑苏实验室</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目标导向</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半导体工业级在线式X射线光电子能谱的关键技术研究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丁  丁</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姑苏实验室</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目标导向</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高精度动态智能三维视觉芯片与系统核心技术开发</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黎  江</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姑苏实验室</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目标导向</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基于第一性原理计算和大数据智能分析的纳米材料理性设计</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陈  忻</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姑苏实验室</w:t>
            </w:r>
          </w:p>
        </w:tc>
      </w:tr>
      <w:tr>
        <w:tblPrEx>
          <w:tblCellMar>
            <w:top w:w="0" w:type="dxa"/>
            <w:left w:w="108" w:type="dxa"/>
            <w:bottom w:w="0" w:type="dxa"/>
            <w:right w:w="108" w:type="dxa"/>
          </w:tblCellMar>
        </w:tblPrEx>
        <w:trPr>
          <w:trHeight w:val="270"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目标导向</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300mm集成电路7-2纳米先进制程使用的超大尺寸碳化硅部件研发</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夏秋良</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姑苏实验室</w:t>
            </w:r>
          </w:p>
        </w:tc>
      </w:tr>
      <w:tr>
        <w:tblPrEx>
          <w:tblCellMar>
            <w:top w:w="0" w:type="dxa"/>
            <w:left w:w="108" w:type="dxa"/>
            <w:bottom w:w="0" w:type="dxa"/>
            <w:right w:w="108" w:type="dxa"/>
          </w:tblCellMar>
        </w:tblPrEx>
        <w:trPr>
          <w:trHeight w:val="159"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44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目标导向</w:t>
            </w:r>
          </w:p>
        </w:tc>
        <w:tc>
          <w:tcPr>
            <w:tcW w:w="28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VVM热敏功能材料的性能优化研究</w:t>
            </w:r>
          </w:p>
        </w:tc>
        <w:tc>
          <w:tcPr>
            <w:tcW w:w="535"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史小菊</w:t>
            </w:r>
          </w:p>
        </w:tc>
        <w:tc>
          <w:tcPr>
            <w:tcW w:w="893"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姑苏实验室</w:t>
            </w:r>
          </w:p>
        </w:tc>
      </w:tr>
    </w:tbl>
    <w:p>
      <w:pPr>
        <w:spacing w:line="560" w:lineRule="exact"/>
        <w:ind w:firstLine="640" w:firstLineChars="200"/>
        <w:rPr>
          <w:rFonts w:ascii="仿宋_GB2312" w:eastAsia="仿宋_GB2312"/>
          <w:sz w:val="32"/>
          <w:szCs w:val="32"/>
        </w:rPr>
      </w:pPr>
    </w:p>
    <w:p>
      <w:bookmarkStart w:id="0" w:name="_GoBack"/>
      <w:bookmarkEnd w:id="0"/>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65B57"/>
    <w:rsid w:val="1FC6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2021-10-18T09:00:00Z</dcterms:created>
  <dc:creator>松鼠喵huan</dc:creator>
  <cp:lastModifiedBy>松鼠喵huan</cp:lastModifiedBy>
  <dcterms:modified xsi:type="dcterms:W3CDTF">2021-10-18T09:01:02Z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