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hint="default" w:eastAsia="方正黑体_GBK"/>
          <w:szCs w:val="48"/>
        </w:rPr>
      </w:pPr>
      <w:r>
        <w:rPr>
          <w:rFonts w:hint="default" w:ascii="Times New Roman" w:eastAsia="方正黑体_GBK"/>
          <w:szCs w:val="48"/>
        </w:rPr>
        <w:t>附件3</w:t>
      </w:r>
    </w:p>
    <w:p>
      <w:pPr>
        <w:widowControl/>
        <w:spacing w:line="550" w:lineRule="exact"/>
        <w:rPr>
          <w:rFonts w:hint="default" w:ascii="Times New Roman" w:eastAsia="方正黑体_GBK"/>
          <w:szCs w:val="48"/>
        </w:rPr>
      </w:pPr>
    </w:p>
    <w:p>
      <w:pPr>
        <w:widowControl/>
        <w:spacing w:line="550" w:lineRule="exact"/>
        <w:jc w:val="center"/>
        <w:rPr>
          <w:rFonts w:eastAsia="方正黑体_GBK"/>
          <w:szCs w:val="32"/>
        </w:rPr>
      </w:pPr>
      <w:r>
        <w:rPr>
          <w:rFonts w:eastAsia="方正小标宋_GBK"/>
          <w:color w:val="000000"/>
          <w:sz w:val="44"/>
          <w:szCs w:val="44"/>
        </w:rPr>
        <w:t>江苏省技工院校师资研修中心</w:t>
      </w:r>
      <w:r>
        <w:rPr>
          <w:rFonts w:hint="default" w:eastAsia="方正小标宋_GBK"/>
          <w:color w:val="000000"/>
          <w:sz w:val="44"/>
          <w:szCs w:val="44"/>
        </w:rPr>
        <w:t>实施</w:t>
      </w:r>
      <w:r>
        <w:rPr>
          <w:rFonts w:eastAsia="方正小标宋_GBK"/>
          <w:color w:val="000000"/>
          <w:sz w:val="44"/>
          <w:szCs w:val="44"/>
        </w:rPr>
        <w:t>方案</w:t>
      </w:r>
    </w:p>
    <w:p>
      <w:pPr>
        <w:widowControl/>
        <w:spacing w:line="550" w:lineRule="exact"/>
        <w:jc w:val="left"/>
        <w:rPr>
          <w:rFonts w:eastAsia="华文中宋"/>
          <w:spacing w:val="-10"/>
          <w:sz w:val="44"/>
          <w:szCs w:val="44"/>
        </w:rPr>
      </w:pPr>
    </w:p>
    <w:p>
      <w:pPr>
        <w:widowControl w:val="0"/>
        <w:spacing w:line="550" w:lineRule="exact"/>
        <w:ind w:firstLine="640" w:firstLineChars="200"/>
        <w:rPr>
          <w:color w:val="000000"/>
          <w:spacing w:val="0"/>
          <w:szCs w:val="48"/>
        </w:rPr>
      </w:pPr>
      <w:r>
        <w:rPr>
          <w:color w:val="000000"/>
          <w:spacing w:val="0"/>
          <w:szCs w:val="48"/>
        </w:rPr>
        <w:t>为深入贯彻落实习近平总书记关于新时代教师队伍建设的重要指示和《中共中央 国务院关于全面深化新时代教师队伍建设改革的意见》</w:t>
      </w:r>
      <w:r>
        <w:rPr>
          <w:rFonts w:hint="default"/>
          <w:color w:val="000000"/>
          <w:spacing w:val="0"/>
          <w:szCs w:val="48"/>
        </w:rPr>
        <w:t>（中发〔2018〕4号）</w:t>
      </w:r>
      <w:r>
        <w:rPr>
          <w:color w:val="000000"/>
          <w:spacing w:val="0"/>
          <w:szCs w:val="48"/>
        </w:rPr>
        <w:t>精神，落实立德树人根本任务，遵循教育规律和教师成长发展规律，加强师德师风建设，全力打造高素质</w:t>
      </w:r>
      <w:r>
        <w:rPr>
          <w:rFonts w:hint="default"/>
          <w:color w:val="000000"/>
          <w:spacing w:val="0"/>
          <w:szCs w:val="48"/>
        </w:rPr>
        <w:t>专业化</w:t>
      </w:r>
      <w:r>
        <w:rPr>
          <w:color w:val="000000"/>
          <w:spacing w:val="0"/>
          <w:szCs w:val="48"/>
        </w:rPr>
        <w:t>教师队伍，进一步推动我省技工</w:t>
      </w:r>
      <w:r>
        <w:rPr>
          <w:rFonts w:hint="default"/>
          <w:color w:val="000000"/>
          <w:spacing w:val="0"/>
          <w:szCs w:val="48"/>
        </w:rPr>
        <w:t>教育</w:t>
      </w:r>
      <w:r>
        <w:rPr>
          <w:color w:val="000000"/>
          <w:spacing w:val="0"/>
          <w:szCs w:val="48"/>
        </w:rPr>
        <w:t xml:space="preserve">高质量发展，特制定本方案。 </w:t>
      </w:r>
    </w:p>
    <w:p>
      <w:pPr>
        <w:widowControl w:val="0"/>
        <w:spacing w:line="550" w:lineRule="exact"/>
        <w:ind w:firstLine="640" w:firstLineChars="200"/>
        <w:rPr>
          <w:rFonts w:eastAsia="方正黑体_GBK"/>
          <w:kern w:val="0"/>
          <w:szCs w:val="32"/>
        </w:rPr>
      </w:pPr>
      <w:r>
        <w:rPr>
          <w:rFonts w:eastAsia="方正黑体_GBK"/>
          <w:kern w:val="0"/>
          <w:szCs w:val="32"/>
        </w:rPr>
        <w:t>一、建设目标</w:t>
      </w:r>
    </w:p>
    <w:p>
      <w:pPr>
        <w:widowControl w:val="0"/>
        <w:spacing w:line="550" w:lineRule="exact"/>
        <w:ind w:firstLine="640" w:firstLineChars="200"/>
        <w:rPr>
          <w:rFonts w:hint="default"/>
          <w:color w:val="000000"/>
          <w:spacing w:val="0"/>
          <w:szCs w:val="48"/>
        </w:rPr>
      </w:pPr>
      <w:r>
        <w:rPr>
          <w:rFonts w:hint="default"/>
          <w:color w:val="000000"/>
          <w:spacing w:val="0"/>
          <w:szCs w:val="48"/>
        </w:rPr>
        <w:t>统筹建设</w:t>
      </w:r>
      <w:r>
        <w:rPr>
          <w:color w:val="000000"/>
          <w:spacing w:val="0"/>
          <w:szCs w:val="48"/>
        </w:rPr>
        <w:t>技工院校教师研修学习平台，</w:t>
      </w:r>
      <w:r>
        <w:rPr>
          <w:rFonts w:hint="default"/>
          <w:color w:val="000000"/>
          <w:spacing w:val="0"/>
          <w:szCs w:val="48"/>
        </w:rPr>
        <w:t>完善技工院校教师培养培训体系，面向全省从事技能教育的教师、管理人员等广泛开展</w:t>
      </w:r>
      <w:r>
        <w:rPr>
          <w:color w:val="000000"/>
          <w:spacing w:val="0"/>
          <w:szCs w:val="48"/>
        </w:rPr>
        <w:t>高水平培训，</w:t>
      </w:r>
      <w:r>
        <w:rPr>
          <w:rFonts w:hint="default"/>
          <w:color w:val="000000"/>
          <w:spacing w:val="0"/>
          <w:szCs w:val="48"/>
        </w:rPr>
        <w:t>推动提升教师队伍发展水平和社会服务能力，提高</w:t>
      </w:r>
      <w:r>
        <w:rPr>
          <w:color w:val="000000"/>
          <w:spacing w:val="0"/>
          <w:szCs w:val="48"/>
        </w:rPr>
        <w:t>全省技工院校</w:t>
      </w:r>
      <w:r>
        <w:rPr>
          <w:rFonts w:hint="default"/>
          <w:color w:val="000000"/>
          <w:spacing w:val="0"/>
          <w:szCs w:val="48"/>
        </w:rPr>
        <w:t>教育</w:t>
      </w:r>
      <w:r>
        <w:rPr>
          <w:color w:val="000000"/>
          <w:spacing w:val="0"/>
          <w:szCs w:val="48"/>
        </w:rPr>
        <w:t>教学</w:t>
      </w:r>
      <w:r>
        <w:rPr>
          <w:rFonts w:hint="default"/>
          <w:color w:val="000000"/>
          <w:spacing w:val="0"/>
          <w:szCs w:val="48"/>
        </w:rPr>
        <w:t>质量</w:t>
      </w:r>
      <w:r>
        <w:rPr>
          <w:color w:val="000000"/>
          <w:spacing w:val="0"/>
          <w:szCs w:val="48"/>
        </w:rPr>
        <w:t>。“十四五”期间，依托</w:t>
      </w:r>
      <w:r>
        <w:rPr>
          <w:rFonts w:hint="default"/>
          <w:color w:val="000000"/>
          <w:spacing w:val="0"/>
          <w:szCs w:val="48"/>
        </w:rPr>
        <w:t>高水平技工院校</w:t>
      </w:r>
      <w:r>
        <w:rPr>
          <w:color w:val="000000"/>
          <w:spacing w:val="0"/>
          <w:szCs w:val="48"/>
        </w:rPr>
        <w:t>建设5个</w:t>
      </w:r>
      <w:r>
        <w:rPr>
          <w:rFonts w:hint="default"/>
          <w:color w:val="000000"/>
          <w:spacing w:val="0"/>
          <w:szCs w:val="48"/>
        </w:rPr>
        <w:t>管理规范有序、特色鲜明，培训能力突出，具有示范引领作用的</w:t>
      </w:r>
      <w:r>
        <w:rPr>
          <w:color w:val="000000"/>
          <w:spacing w:val="0"/>
          <w:szCs w:val="48"/>
        </w:rPr>
        <w:t>技工院校师资研修中心，每个研修中心年</w:t>
      </w:r>
      <w:r>
        <w:rPr>
          <w:rFonts w:hint="default"/>
          <w:color w:val="000000"/>
          <w:spacing w:val="0"/>
          <w:szCs w:val="48"/>
        </w:rPr>
        <w:t>培训达</w:t>
      </w:r>
      <w:r>
        <w:rPr>
          <w:color w:val="000000"/>
          <w:spacing w:val="0"/>
          <w:szCs w:val="48"/>
        </w:rPr>
        <w:t>300人次。</w:t>
      </w:r>
    </w:p>
    <w:p>
      <w:pPr>
        <w:widowControl w:val="0"/>
        <w:spacing w:line="550" w:lineRule="exact"/>
        <w:ind w:firstLine="640" w:firstLineChars="200"/>
        <w:rPr>
          <w:rFonts w:eastAsia="方正黑体_GBK"/>
          <w:kern w:val="0"/>
          <w:szCs w:val="32"/>
        </w:rPr>
      </w:pPr>
      <w:r>
        <w:rPr>
          <w:rFonts w:eastAsia="方正黑体_GBK"/>
          <w:kern w:val="0"/>
          <w:szCs w:val="32"/>
        </w:rPr>
        <w:t>二、重点任务</w:t>
      </w:r>
    </w:p>
    <w:p>
      <w:pPr>
        <w:widowControl w:val="0"/>
        <w:spacing w:line="550" w:lineRule="exact"/>
        <w:ind w:firstLine="640" w:firstLineChars="200"/>
        <w:rPr>
          <w:color w:val="000000"/>
          <w:spacing w:val="0"/>
          <w:szCs w:val="48"/>
        </w:rPr>
      </w:pPr>
      <w:r>
        <w:rPr>
          <w:rFonts w:hint="default" w:ascii="Times New Roman" w:eastAsia="方正楷体_GBK"/>
          <w:bCs/>
          <w:color w:val="000000"/>
          <w:spacing w:val="0"/>
          <w:szCs w:val="48"/>
        </w:rPr>
        <w:t>（一）健全组织机构。</w:t>
      </w:r>
      <w:r>
        <w:rPr>
          <w:rFonts w:hint="default"/>
          <w:color w:val="000000"/>
          <w:spacing w:val="0"/>
          <w:szCs w:val="48"/>
        </w:rPr>
        <w:t>学校设立专门</w:t>
      </w:r>
      <w:r>
        <w:rPr>
          <w:color w:val="000000"/>
          <w:spacing w:val="0"/>
          <w:szCs w:val="48"/>
        </w:rPr>
        <w:t>管理机构，</w:t>
      </w:r>
      <w:r>
        <w:rPr>
          <w:rFonts w:hint="default"/>
          <w:color w:val="000000"/>
          <w:spacing w:val="0"/>
          <w:szCs w:val="48"/>
        </w:rPr>
        <w:t>配备相应管理人员和教师，建立健全研修中心管理制度和工作机制，有效开展</w:t>
      </w:r>
      <w:r>
        <w:rPr>
          <w:color w:val="000000"/>
          <w:spacing w:val="0"/>
          <w:szCs w:val="48"/>
        </w:rPr>
        <w:t>师资研修中心的日常管理、项目实施和考核评价。</w:t>
      </w:r>
    </w:p>
    <w:p>
      <w:pPr>
        <w:widowControl w:val="0"/>
        <w:spacing w:line="550" w:lineRule="exact"/>
        <w:ind w:firstLine="640" w:firstLineChars="200"/>
        <w:rPr>
          <w:color w:val="000000"/>
          <w:spacing w:val="0"/>
          <w:szCs w:val="48"/>
        </w:rPr>
      </w:pPr>
      <w:r>
        <w:rPr>
          <w:rFonts w:hint="default" w:ascii="Times New Roman" w:eastAsia="方正楷体_GBK"/>
          <w:bCs/>
          <w:color w:val="000000"/>
          <w:spacing w:val="0"/>
          <w:szCs w:val="48"/>
        </w:rPr>
        <w:t>（二）</w:t>
      </w:r>
      <w:r>
        <w:rPr>
          <w:rFonts w:ascii="Times New Roman" w:eastAsia="方正楷体_GBK"/>
          <w:bCs/>
          <w:color w:val="000000"/>
          <w:spacing w:val="0"/>
          <w:szCs w:val="48"/>
        </w:rPr>
        <w:t>完善</w:t>
      </w:r>
      <w:r>
        <w:rPr>
          <w:rFonts w:hint="default" w:ascii="Times New Roman" w:eastAsia="方正楷体_GBK"/>
          <w:bCs/>
          <w:color w:val="000000"/>
          <w:spacing w:val="0"/>
          <w:szCs w:val="48"/>
        </w:rPr>
        <w:t>基础</w:t>
      </w:r>
      <w:r>
        <w:rPr>
          <w:rFonts w:ascii="Times New Roman" w:eastAsia="方正楷体_GBK"/>
          <w:bCs/>
          <w:color w:val="000000"/>
          <w:spacing w:val="0"/>
          <w:szCs w:val="48"/>
        </w:rPr>
        <w:t>条件。</w:t>
      </w:r>
      <w:r>
        <w:rPr>
          <w:color w:val="000000"/>
          <w:spacing w:val="0"/>
          <w:szCs w:val="48"/>
        </w:rPr>
        <w:t>整合校内外优质资源，建设满足师资研修</w:t>
      </w:r>
      <w:r>
        <w:rPr>
          <w:rFonts w:hint="default"/>
          <w:color w:val="000000"/>
          <w:spacing w:val="0"/>
          <w:szCs w:val="48"/>
        </w:rPr>
        <w:t>需要</w:t>
      </w:r>
      <w:r>
        <w:rPr>
          <w:color w:val="000000"/>
          <w:spacing w:val="0"/>
          <w:szCs w:val="48"/>
        </w:rPr>
        <w:t>的场地</w:t>
      </w:r>
      <w:r>
        <w:rPr>
          <w:rFonts w:hint="default"/>
          <w:color w:val="000000"/>
          <w:spacing w:val="0"/>
          <w:szCs w:val="48"/>
        </w:rPr>
        <w:t>，配齐教育教学、</w:t>
      </w:r>
      <w:r>
        <w:rPr>
          <w:color w:val="000000"/>
          <w:spacing w:val="0"/>
          <w:szCs w:val="48"/>
        </w:rPr>
        <w:t>后勤服务设施设备。</w:t>
      </w:r>
      <w:r>
        <w:rPr>
          <w:rFonts w:hint="default"/>
          <w:color w:val="000000"/>
          <w:spacing w:val="0"/>
          <w:szCs w:val="48"/>
        </w:rPr>
        <w:t>积极</w:t>
      </w:r>
      <w:r>
        <w:rPr>
          <w:color w:val="000000"/>
          <w:spacing w:val="0"/>
          <w:szCs w:val="48"/>
        </w:rPr>
        <w:t>引进</w:t>
      </w:r>
      <w:r>
        <w:rPr>
          <w:rFonts w:hint="default"/>
          <w:color w:val="000000"/>
          <w:spacing w:val="0"/>
          <w:szCs w:val="48"/>
        </w:rPr>
        <w:t>高校、行业协会、企业、科研院所等</w:t>
      </w:r>
      <w:r>
        <w:rPr>
          <w:color w:val="000000"/>
          <w:spacing w:val="0"/>
          <w:szCs w:val="48"/>
        </w:rPr>
        <w:t>校外优质培训资源</w:t>
      </w:r>
      <w:r>
        <w:rPr>
          <w:rFonts w:hint="default"/>
          <w:color w:val="000000"/>
          <w:spacing w:val="0"/>
          <w:szCs w:val="48"/>
        </w:rPr>
        <w:t>，探索</w:t>
      </w:r>
      <w:r>
        <w:rPr>
          <w:color w:val="000000"/>
          <w:spacing w:val="0"/>
          <w:szCs w:val="48"/>
        </w:rPr>
        <w:t>建设师资研修中心校外教学点。</w:t>
      </w:r>
    </w:p>
    <w:p>
      <w:pPr>
        <w:widowControl w:val="0"/>
        <w:spacing w:line="550" w:lineRule="exact"/>
        <w:ind w:firstLine="640" w:firstLineChars="200"/>
        <w:rPr>
          <w:color w:val="000000"/>
          <w:spacing w:val="0"/>
          <w:szCs w:val="48"/>
        </w:rPr>
      </w:pPr>
      <w:r>
        <w:rPr>
          <w:rFonts w:hint="default" w:ascii="Times New Roman" w:eastAsia="方正楷体_GBK"/>
          <w:bCs/>
          <w:color w:val="000000"/>
          <w:spacing w:val="0"/>
          <w:szCs w:val="48"/>
        </w:rPr>
        <w:t>（三）</w:t>
      </w:r>
      <w:r>
        <w:rPr>
          <w:rFonts w:ascii="Times New Roman" w:eastAsia="方正楷体_GBK"/>
          <w:bCs/>
          <w:color w:val="000000"/>
          <w:spacing w:val="0"/>
          <w:szCs w:val="48"/>
        </w:rPr>
        <w:t>建强</w:t>
      </w:r>
      <w:r>
        <w:rPr>
          <w:rFonts w:hint="default" w:ascii="Times New Roman" w:eastAsia="方正楷体_GBK"/>
          <w:bCs/>
          <w:color w:val="000000"/>
          <w:spacing w:val="0"/>
          <w:szCs w:val="48"/>
        </w:rPr>
        <w:t>师资</w:t>
      </w:r>
      <w:r>
        <w:rPr>
          <w:rFonts w:ascii="Times New Roman" w:eastAsia="方正楷体_GBK"/>
          <w:bCs/>
          <w:color w:val="000000"/>
          <w:spacing w:val="0"/>
          <w:szCs w:val="48"/>
        </w:rPr>
        <w:t>队伍。</w:t>
      </w:r>
      <w:r>
        <w:rPr>
          <w:rFonts w:hint="default"/>
          <w:color w:val="000000"/>
          <w:spacing w:val="0"/>
          <w:szCs w:val="48"/>
        </w:rPr>
        <w:t>结合</w:t>
      </w:r>
      <w:r>
        <w:rPr>
          <w:color w:val="000000"/>
          <w:spacing w:val="0"/>
          <w:szCs w:val="48"/>
        </w:rPr>
        <w:t>研修项目要求，选聘一批师德高尚、专业精深、教学能力突出的专兼职培训</w:t>
      </w:r>
      <w:r>
        <w:rPr>
          <w:rFonts w:hint="default"/>
          <w:color w:val="000000"/>
          <w:spacing w:val="0"/>
          <w:szCs w:val="48"/>
        </w:rPr>
        <w:t>师资，</w:t>
      </w:r>
      <w:r>
        <w:rPr>
          <w:color w:val="000000"/>
          <w:spacing w:val="0"/>
          <w:szCs w:val="48"/>
        </w:rPr>
        <w:t>分类建设研修</w:t>
      </w:r>
      <w:r>
        <w:rPr>
          <w:rFonts w:hint="default"/>
          <w:color w:val="000000"/>
          <w:spacing w:val="0"/>
          <w:szCs w:val="48"/>
        </w:rPr>
        <w:t>项目</w:t>
      </w:r>
      <w:r>
        <w:rPr>
          <w:color w:val="000000"/>
          <w:spacing w:val="0"/>
          <w:szCs w:val="48"/>
        </w:rPr>
        <w:t>师资库</w:t>
      </w:r>
      <w:r>
        <w:rPr>
          <w:rFonts w:hint="default"/>
          <w:color w:val="000000"/>
          <w:spacing w:val="0"/>
          <w:szCs w:val="48"/>
        </w:rPr>
        <w:t>，成员主要</w:t>
      </w:r>
      <w:r>
        <w:rPr>
          <w:color w:val="000000"/>
          <w:spacing w:val="0"/>
          <w:szCs w:val="48"/>
        </w:rPr>
        <w:t>包括国内外</w:t>
      </w:r>
      <w:r>
        <w:rPr>
          <w:rFonts w:hint="default"/>
          <w:color w:val="000000"/>
          <w:spacing w:val="0"/>
          <w:szCs w:val="48"/>
        </w:rPr>
        <w:t>技工</w:t>
      </w:r>
      <w:r>
        <w:rPr>
          <w:color w:val="000000"/>
          <w:spacing w:val="0"/>
          <w:szCs w:val="48"/>
        </w:rPr>
        <w:t>教育专家、行业企业杰出人才、</w:t>
      </w:r>
      <w:r>
        <w:rPr>
          <w:rFonts w:hint="default"/>
          <w:color w:val="000000"/>
          <w:spacing w:val="0"/>
          <w:szCs w:val="48"/>
        </w:rPr>
        <w:t>省级以上</w:t>
      </w:r>
      <w:r>
        <w:rPr>
          <w:color w:val="000000"/>
          <w:spacing w:val="0"/>
          <w:szCs w:val="48"/>
        </w:rPr>
        <w:t>技能大师、</w:t>
      </w:r>
      <w:r>
        <w:rPr>
          <w:rFonts w:hint="default"/>
          <w:color w:val="000000"/>
          <w:spacing w:val="0"/>
          <w:szCs w:val="48"/>
        </w:rPr>
        <w:t>省级以上</w:t>
      </w:r>
      <w:r>
        <w:rPr>
          <w:color w:val="000000"/>
          <w:spacing w:val="0"/>
          <w:szCs w:val="48"/>
        </w:rPr>
        <w:t>技工教育教学名师</w:t>
      </w:r>
      <w:r>
        <w:rPr>
          <w:rFonts w:hint="default"/>
          <w:color w:val="000000"/>
          <w:spacing w:val="0"/>
          <w:szCs w:val="48"/>
        </w:rPr>
        <w:t>。</w:t>
      </w:r>
      <w:r>
        <w:rPr>
          <w:color w:val="000000"/>
          <w:spacing w:val="0"/>
          <w:szCs w:val="48"/>
        </w:rPr>
        <w:t>优选省职业能力建设（人才项目）评审专家库成员作为首席培训师。</w:t>
      </w:r>
    </w:p>
    <w:p>
      <w:pPr>
        <w:widowControl w:val="0"/>
        <w:spacing w:line="550" w:lineRule="exact"/>
        <w:ind w:firstLine="640" w:firstLineChars="200"/>
        <w:rPr>
          <w:rFonts w:hint="default"/>
          <w:color w:val="000000"/>
          <w:spacing w:val="0"/>
          <w:szCs w:val="48"/>
        </w:rPr>
      </w:pPr>
      <w:r>
        <w:rPr>
          <w:rFonts w:hint="default" w:ascii="Times New Roman" w:eastAsia="方正楷体_GBK"/>
          <w:bCs/>
          <w:color w:val="000000"/>
          <w:spacing w:val="0"/>
          <w:szCs w:val="48"/>
        </w:rPr>
        <w:t>（四）增强</w:t>
      </w:r>
      <w:r>
        <w:rPr>
          <w:rFonts w:ascii="Times New Roman" w:eastAsia="方正楷体_GBK"/>
          <w:bCs/>
          <w:color w:val="000000"/>
          <w:spacing w:val="0"/>
          <w:szCs w:val="48"/>
        </w:rPr>
        <w:t>服务能力。</w:t>
      </w:r>
      <w:r>
        <w:rPr>
          <w:color w:val="000000"/>
          <w:spacing w:val="0"/>
          <w:szCs w:val="48"/>
        </w:rPr>
        <w:t>顺应技工教育发展趋势</w:t>
      </w:r>
      <w:r>
        <w:rPr>
          <w:rFonts w:hint="default"/>
          <w:color w:val="000000"/>
          <w:spacing w:val="0"/>
          <w:szCs w:val="48"/>
        </w:rPr>
        <w:t>，着力加强技工</w:t>
      </w:r>
      <w:r>
        <w:rPr>
          <w:color w:val="000000"/>
          <w:spacing w:val="0"/>
          <w:szCs w:val="48"/>
        </w:rPr>
        <w:t>教育</w:t>
      </w:r>
      <w:r>
        <w:rPr>
          <w:rFonts w:hint="default"/>
          <w:color w:val="000000"/>
          <w:spacing w:val="0"/>
          <w:szCs w:val="48"/>
        </w:rPr>
        <w:t>新理念、新模式、新教法培训</w:t>
      </w:r>
      <w:r>
        <w:rPr>
          <w:color w:val="000000"/>
          <w:spacing w:val="0"/>
          <w:szCs w:val="48"/>
        </w:rPr>
        <w:t>。</w:t>
      </w:r>
      <w:r>
        <w:rPr>
          <w:rFonts w:hint="default"/>
          <w:color w:val="000000"/>
          <w:spacing w:val="0"/>
          <w:szCs w:val="48"/>
        </w:rPr>
        <w:t>坚持产教融合，</w:t>
      </w:r>
      <w:r>
        <w:rPr>
          <w:color w:val="000000"/>
          <w:spacing w:val="0"/>
          <w:szCs w:val="48"/>
        </w:rPr>
        <w:t>对接产业需求，</w:t>
      </w:r>
      <w:r>
        <w:rPr>
          <w:rFonts w:hint="default"/>
          <w:color w:val="000000"/>
          <w:spacing w:val="0"/>
          <w:szCs w:val="48"/>
        </w:rPr>
        <w:t>积极</w:t>
      </w:r>
      <w:r>
        <w:rPr>
          <w:color w:val="000000"/>
          <w:spacing w:val="0"/>
          <w:szCs w:val="48"/>
        </w:rPr>
        <w:t>将</w:t>
      </w:r>
      <w:r>
        <w:rPr>
          <w:rFonts w:hint="default"/>
          <w:color w:val="000000"/>
          <w:spacing w:val="0"/>
          <w:szCs w:val="48"/>
        </w:rPr>
        <w:t>企业生产</w:t>
      </w:r>
      <w:r>
        <w:rPr>
          <w:color w:val="000000"/>
          <w:spacing w:val="0"/>
          <w:szCs w:val="48"/>
        </w:rPr>
        <w:t>新技术</w:t>
      </w:r>
      <w:r>
        <w:rPr>
          <w:rFonts w:hint="default"/>
          <w:color w:val="000000"/>
          <w:spacing w:val="0"/>
          <w:szCs w:val="48"/>
        </w:rPr>
        <w:t>、新工艺</w:t>
      </w:r>
      <w:r>
        <w:rPr>
          <w:color w:val="000000"/>
          <w:spacing w:val="0"/>
          <w:szCs w:val="48"/>
        </w:rPr>
        <w:t>、新技能融入研修</w:t>
      </w:r>
      <w:r>
        <w:rPr>
          <w:rFonts w:hint="default"/>
          <w:color w:val="000000"/>
          <w:spacing w:val="0"/>
          <w:szCs w:val="48"/>
        </w:rPr>
        <w:t>内容。</w:t>
      </w:r>
      <w:r>
        <w:rPr>
          <w:color w:val="000000"/>
          <w:spacing w:val="0"/>
          <w:szCs w:val="48"/>
        </w:rPr>
        <w:t>每年引进或开发</w:t>
      </w:r>
      <w:r>
        <w:rPr>
          <w:rFonts w:hint="default"/>
          <w:color w:val="000000"/>
          <w:spacing w:val="0"/>
          <w:szCs w:val="48"/>
        </w:rPr>
        <w:t>不少于</w:t>
      </w:r>
      <w:r>
        <w:rPr>
          <w:color w:val="000000"/>
          <w:spacing w:val="0"/>
          <w:szCs w:val="48"/>
        </w:rPr>
        <w:t>3门新课程</w:t>
      </w:r>
      <w:r>
        <w:rPr>
          <w:rFonts w:hint="default"/>
          <w:color w:val="000000"/>
          <w:spacing w:val="0"/>
          <w:szCs w:val="48"/>
        </w:rPr>
        <w:t>，5年内培育形成</w:t>
      </w:r>
      <w:r>
        <w:rPr>
          <w:color w:val="000000"/>
          <w:spacing w:val="0"/>
          <w:szCs w:val="48"/>
        </w:rPr>
        <w:t>不少于10个特色鲜明、水平较高的师资研修项目或示范案例。</w:t>
      </w:r>
    </w:p>
    <w:p>
      <w:pPr>
        <w:widowControl w:val="0"/>
        <w:spacing w:line="550" w:lineRule="exact"/>
        <w:ind w:firstLine="640" w:firstLineChars="200"/>
        <w:rPr>
          <w:color w:val="000000"/>
          <w:spacing w:val="0"/>
          <w:szCs w:val="48"/>
        </w:rPr>
      </w:pPr>
      <w:r>
        <w:rPr>
          <w:rFonts w:hint="default" w:ascii="Times New Roman" w:eastAsia="方正楷体_GBK"/>
          <w:bCs/>
          <w:color w:val="000000"/>
          <w:spacing w:val="0"/>
          <w:szCs w:val="48"/>
        </w:rPr>
        <w:t>（五）提升管理</w:t>
      </w:r>
      <w:r>
        <w:rPr>
          <w:rFonts w:ascii="Times New Roman" w:eastAsia="方正楷体_GBK"/>
          <w:bCs/>
          <w:color w:val="000000"/>
          <w:spacing w:val="0"/>
          <w:szCs w:val="48"/>
        </w:rPr>
        <w:t>效能。</w:t>
      </w:r>
      <w:r>
        <w:rPr>
          <w:color w:val="000000"/>
          <w:spacing w:val="0"/>
          <w:szCs w:val="48"/>
        </w:rPr>
        <w:t>建立</w:t>
      </w:r>
      <w:r>
        <w:rPr>
          <w:rFonts w:hint="default"/>
          <w:color w:val="000000"/>
          <w:spacing w:val="0"/>
          <w:szCs w:val="48"/>
        </w:rPr>
        <w:t>健全</w:t>
      </w:r>
      <w:r>
        <w:rPr>
          <w:color w:val="000000"/>
          <w:spacing w:val="0"/>
          <w:szCs w:val="48"/>
        </w:rPr>
        <w:t>培训质量评价体系，</w:t>
      </w:r>
      <w:r>
        <w:rPr>
          <w:rFonts w:hint="default"/>
          <w:color w:val="000000"/>
          <w:spacing w:val="0"/>
          <w:szCs w:val="48"/>
        </w:rPr>
        <w:t>完善培训</w:t>
      </w:r>
      <w:r>
        <w:rPr>
          <w:color w:val="000000"/>
          <w:spacing w:val="0"/>
          <w:szCs w:val="48"/>
        </w:rPr>
        <w:t>督导机制，</w:t>
      </w:r>
      <w:r>
        <w:rPr>
          <w:rFonts w:hint="default"/>
          <w:color w:val="000000"/>
          <w:spacing w:val="0"/>
          <w:szCs w:val="48"/>
        </w:rPr>
        <w:t>通过</w:t>
      </w:r>
      <w:r>
        <w:rPr>
          <w:color w:val="000000"/>
          <w:spacing w:val="0"/>
          <w:szCs w:val="48"/>
        </w:rPr>
        <w:t>内部督导、学员评价、第三方</w:t>
      </w:r>
      <w:r>
        <w:rPr>
          <w:rFonts w:hint="default"/>
          <w:color w:val="000000"/>
          <w:spacing w:val="0"/>
          <w:szCs w:val="48"/>
        </w:rPr>
        <w:t>机构评价</w:t>
      </w:r>
      <w:r>
        <w:rPr>
          <w:color w:val="000000"/>
          <w:spacing w:val="0"/>
          <w:szCs w:val="48"/>
        </w:rPr>
        <w:t>等</w:t>
      </w:r>
      <w:r>
        <w:rPr>
          <w:rFonts w:hint="default"/>
          <w:color w:val="000000"/>
          <w:spacing w:val="0"/>
          <w:szCs w:val="48"/>
        </w:rPr>
        <w:t>方式</w:t>
      </w:r>
      <w:r>
        <w:rPr>
          <w:color w:val="000000"/>
          <w:spacing w:val="0"/>
          <w:szCs w:val="48"/>
        </w:rPr>
        <w:t>，</w:t>
      </w:r>
      <w:r>
        <w:rPr>
          <w:rFonts w:hint="default"/>
          <w:color w:val="000000"/>
          <w:spacing w:val="0"/>
          <w:szCs w:val="48"/>
        </w:rPr>
        <w:t>促进提升培训质量</w:t>
      </w:r>
      <w:r>
        <w:rPr>
          <w:color w:val="000000"/>
          <w:spacing w:val="0"/>
          <w:szCs w:val="48"/>
        </w:rPr>
        <w:t>。搭建师资研修项目</w:t>
      </w:r>
      <w:r>
        <w:rPr>
          <w:rFonts w:hint="default"/>
          <w:color w:val="000000"/>
          <w:spacing w:val="0"/>
          <w:szCs w:val="48"/>
        </w:rPr>
        <w:t>信息化</w:t>
      </w:r>
      <w:r>
        <w:rPr>
          <w:color w:val="000000"/>
          <w:spacing w:val="0"/>
          <w:szCs w:val="48"/>
        </w:rPr>
        <w:t>管理平台</w:t>
      </w:r>
      <w:r>
        <w:rPr>
          <w:rFonts w:hint="default"/>
          <w:color w:val="000000"/>
          <w:spacing w:val="0"/>
          <w:szCs w:val="48"/>
        </w:rPr>
        <w:t>，</w:t>
      </w:r>
      <w:r>
        <w:rPr>
          <w:color w:val="000000"/>
          <w:spacing w:val="0"/>
          <w:szCs w:val="48"/>
        </w:rPr>
        <w:t>实现项目立项、</w:t>
      </w:r>
      <w:r>
        <w:rPr>
          <w:rFonts w:hint="default"/>
          <w:color w:val="000000"/>
          <w:spacing w:val="0"/>
          <w:szCs w:val="48"/>
        </w:rPr>
        <w:t>教育教学、质量评价、</w:t>
      </w:r>
      <w:r>
        <w:rPr>
          <w:color w:val="000000"/>
          <w:spacing w:val="0"/>
          <w:szCs w:val="48"/>
        </w:rPr>
        <w:t>财务收支等全过程数字化</w:t>
      </w:r>
      <w:r>
        <w:rPr>
          <w:rFonts w:hint="default"/>
          <w:color w:val="000000"/>
          <w:spacing w:val="0"/>
          <w:szCs w:val="48"/>
        </w:rPr>
        <w:t>管理。</w:t>
      </w:r>
    </w:p>
    <w:p>
      <w:pPr>
        <w:widowControl w:val="0"/>
        <w:spacing w:line="550" w:lineRule="exact"/>
        <w:ind w:firstLine="640" w:firstLineChars="200"/>
        <w:rPr>
          <w:rFonts w:eastAsia="方正黑体_GBK"/>
          <w:kern w:val="0"/>
          <w:szCs w:val="32"/>
        </w:rPr>
      </w:pPr>
      <w:r>
        <w:rPr>
          <w:rFonts w:eastAsia="方正黑体_GBK"/>
          <w:kern w:val="0"/>
          <w:szCs w:val="32"/>
        </w:rPr>
        <w:t>三、申报条件</w:t>
      </w:r>
    </w:p>
    <w:p>
      <w:pPr>
        <w:widowControl w:val="0"/>
        <w:spacing w:line="550" w:lineRule="exact"/>
        <w:ind w:firstLine="640" w:firstLineChars="200"/>
        <w:rPr>
          <w:rFonts w:hint="default"/>
          <w:color w:val="000000"/>
          <w:spacing w:val="0"/>
          <w:szCs w:val="48"/>
        </w:rPr>
      </w:pPr>
      <w:r>
        <w:rPr>
          <w:rFonts w:hint="default" w:ascii="Times New Roman" w:eastAsia="方正楷体_GBK"/>
          <w:bCs/>
          <w:color w:val="000000"/>
          <w:spacing w:val="0"/>
          <w:szCs w:val="48"/>
        </w:rPr>
        <w:t>（一）</w:t>
      </w:r>
      <w:r>
        <w:rPr>
          <w:rFonts w:ascii="Times New Roman" w:eastAsia="方正楷体_GBK"/>
          <w:bCs/>
          <w:color w:val="000000"/>
          <w:spacing w:val="0"/>
          <w:szCs w:val="48"/>
        </w:rPr>
        <w:t>师资</w:t>
      </w:r>
      <w:r>
        <w:rPr>
          <w:rFonts w:hint="default" w:ascii="Times New Roman" w:eastAsia="方正楷体_GBK"/>
          <w:bCs/>
          <w:color w:val="000000"/>
          <w:spacing w:val="0"/>
          <w:szCs w:val="48"/>
        </w:rPr>
        <w:t>队伍</w:t>
      </w:r>
      <w:r>
        <w:rPr>
          <w:rFonts w:ascii="Times New Roman" w:eastAsia="方正楷体_GBK"/>
          <w:bCs/>
          <w:color w:val="000000"/>
          <w:spacing w:val="0"/>
          <w:szCs w:val="48"/>
        </w:rPr>
        <w:t>。</w:t>
      </w:r>
      <w:r>
        <w:rPr>
          <w:rFonts w:hint="default"/>
          <w:color w:val="000000"/>
          <w:spacing w:val="0"/>
          <w:szCs w:val="48"/>
        </w:rPr>
        <w:t>建有一支数量充足 、结构合理的专兼职教师队伍，学制教育师生比不低于1</w:t>
      </w:r>
      <w:r>
        <w:rPr>
          <w:rFonts w:hint="default" w:ascii="Times New Roman" w:hAnsi="Times New Roman" w:cs="Times New Roman"/>
          <w:color w:val="000000"/>
          <w:szCs w:val="32"/>
        </w:rPr>
        <w:t>∶</w:t>
      </w:r>
      <w:r>
        <w:rPr>
          <w:rFonts w:hint="default"/>
          <w:color w:val="000000"/>
          <w:spacing w:val="0"/>
          <w:szCs w:val="48"/>
        </w:rPr>
        <w:t>18，兼职教师比例不超过30%，专业教师占比达70%，</w:t>
      </w:r>
      <w:r>
        <w:rPr>
          <w:color w:val="000000"/>
          <w:spacing w:val="0"/>
          <w:szCs w:val="48"/>
        </w:rPr>
        <w:t>“一体化”教师占</w:t>
      </w:r>
      <w:r>
        <w:rPr>
          <w:rFonts w:hint="default"/>
          <w:color w:val="000000"/>
          <w:spacing w:val="0"/>
          <w:szCs w:val="48"/>
        </w:rPr>
        <w:t>专业</w:t>
      </w:r>
      <w:r>
        <w:rPr>
          <w:color w:val="000000"/>
          <w:spacing w:val="0"/>
          <w:szCs w:val="48"/>
        </w:rPr>
        <w:t>教师</w:t>
      </w:r>
      <w:r>
        <w:rPr>
          <w:rFonts w:hint="default"/>
          <w:color w:val="000000"/>
          <w:spacing w:val="0"/>
          <w:szCs w:val="48"/>
        </w:rPr>
        <w:t>比</w:t>
      </w:r>
      <w:r>
        <w:rPr>
          <w:color w:val="000000"/>
          <w:spacing w:val="0"/>
          <w:szCs w:val="48"/>
        </w:rPr>
        <w:t>例达</w:t>
      </w:r>
      <w:r>
        <w:rPr>
          <w:rFonts w:hint="default"/>
          <w:color w:val="000000"/>
          <w:spacing w:val="0"/>
          <w:szCs w:val="48"/>
        </w:rPr>
        <w:t>7</w:t>
      </w:r>
      <w:r>
        <w:rPr>
          <w:color w:val="000000"/>
          <w:spacing w:val="0"/>
          <w:szCs w:val="48"/>
        </w:rPr>
        <w:t>0%，</w:t>
      </w:r>
      <w:r>
        <w:rPr>
          <w:rFonts w:hint="default"/>
          <w:color w:val="000000"/>
          <w:spacing w:val="0"/>
          <w:szCs w:val="48"/>
        </w:rPr>
        <w:t>专业教师中同时具备副高及以上职称、技师技能等级及以上的占比达40%。</w:t>
      </w:r>
    </w:p>
    <w:p>
      <w:pPr>
        <w:widowControl w:val="0"/>
        <w:spacing w:line="550" w:lineRule="exact"/>
        <w:ind w:firstLine="640" w:firstLineChars="200"/>
        <w:rPr>
          <w:rFonts w:ascii="Times New Roman" w:eastAsia="方正楷体_GBK"/>
          <w:bCs/>
          <w:color w:val="000000"/>
          <w:spacing w:val="0"/>
          <w:szCs w:val="48"/>
        </w:rPr>
      </w:pPr>
      <w:r>
        <w:rPr>
          <w:rFonts w:hint="default" w:ascii="Times New Roman" w:eastAsia="方正楷体_GBK"/>
          <w:bCs/>
          <w:color w:val="000000"/>
          <w:spacing w:val="0"/>
          <w:szCs w:val="48"/>
        </w:rPr>
        <w:t>（二）设施设备。</w:t>
      </w:r>
      <w:r>
        <w:rPr>
          <w:rFonts w:hint="default"/>
          <w:color w:val="000000"/>
          <w:spacing w:val="0"/>
          <w:szCs w:val="48"/>
        </w:rPr>
        <w:t>校内教学设施设备配置较为完备，实训装备较为先进，能较好满足学生实习实训需求，设备总值达7000万元。建有先进的远程培训录播场所。校外实训基地布局合理、数量充足。</w:t>
      </w:r>
    </w:p>
    <w:p>
      <w:pPr>
        <w:widowControl w:val="0"/>
        <w:spacing w:line="550" w:lineRule="exact"/>
        <w:ind w:firstLine="640" w:firstLineChars="200"/>
        <w:rPr>
          <w:color w:val="000000"/>
          <w:spacing w:val="0"/>
          <w:szCs w:val="48"/>
        </w:rPr>
      </w:pPr>
      <w:r>
        <w:rPr>
          <w:rFonts w:hint="default"/>
          <w:b w:val="0"/>
          <w:bCs/>
          <w:color w:val="000000"/>
          <w:spacing w:val="0"/>
          <w:szCs w:val="48"/>
        </w:rPr>
        <w:t>（</w:t>
      </w:r>
      <w:r>
        <w:rPr>
          <w:rFonts w:hint="default" w:ascii="Times New Roman" w:eastAsia="方正楷体_GBK"/>
          <w:bCs/>
          <w:color w:val="000000"/>
          <w:spacing w:val="0"/>
          <w:szCs w:val="48"/>
        </w:rPr>
        <w:t>三）培训业绩</w:t>
      </w:r>
      <w:r>
        <w:rPr>
          <w:rFonts w:ascii="Times New Roman" w:eastAsia="方正楷体_GBK"/>
          <w:bCs/>
          <w:color w:val="000000"/>
          <w:spacing w:val="0"/>
          <w:szCs w:val="48"/>
        </w:rPr>
        <w:t>。</w:t>
      </w:r>
      <w:r>
        <w:rPr>
          <w:rFonts w:hint="default"/>
          <w:color w:val="000000"/>
          <w:spacing w:val="0"/>
          <w:szCs w:val="48"/>
        </w:rPr>
        <w:t>校内培训机制健全，常态化开展师资队伍培训。注重发挥学校资源优势，面向社会、行业企业积极开展各类培训活动。积极举办或</w:t>
      </w:r>
      <w:r>
        <w:rPr>
          <w:color w:val="000000"/>
          <w:spacing w:val="0"/>
          <w:szCs w:val="48"/>
        </w:rPr>
        <w:t>承办</w:t>
      </w:r>
      <w:r>
        <w:rPr>
          <w:rFonts w:hint="default"/>
          <w:color w:val="000000"/>
          <w:spacing w:val="0"/>
          <w:szCs w:val="48"/>
        </w:rPr>
        <w:t>各级各类</w:t>
      </w:r>
      <w:r>
        <w:rPr>
          <w:color w:val="000000"/>
          <w:spacing w:val="0"/>
          <w:szCs w:val="48"/>
        </w:rPr>
        <w:t>技工院校师资培训</w:t>
      </w:r>
      <w:r>
        <w:rPr>
          <w:rFonts w:hint="default"/>
          <w:color w:val="000000"/>
          <w:spacing w:val="0"/>
          <w:szCs w:val="48"/>
        </w:rPr>
        <w:t>和高级技师（技师）研修活动。</w:t>
      </w:r>
    </w:p>
    <w:p>
      <w:pPr>
        <w:widowControl w:val="0"/>
        <w:spacing w:line="550" w:lineRule="exact"/>
        <w:ind w:firstLine="640" w:firstLineChars="200"/>
        <w:rPr>
          <w:rFonts w:hint="default"/>
          <w:color w:val="000000"/>
          <w:spacing w:val="0"/>
          <w:szCs w:val="48"/>
        </w:rPr>
      </w:pPr>
      <w:r>
        <w:rPr>
          <w:rFonts w:hint="default"/>
          <w:b w:val="0"/>
          <w:bCs/>
          <w:color w:val="000000"/>
          <w:spacing w:val="0"/>
          <w:szCs w:val="48"/>
        </w:rPr>
        <w:t>（</w:t>
      </w:r>
      <w:r>
        <w:rPr>
          <w:rFonts w:hint="default" w:ascii="Times New Roman" w:eastAsia="方正楷体_GBK"/>
          <w:bCs/>
          <w:color w:val="000000"/>
          <w:spacing w:val="0"/>
          <w:szCs w:val="48"/>
        </w:rPr>
        <w:t>四）</w:t>
      </w:r>
      <w:r>
        <w:rPr>
          <w:rFonts w:ascii="Times New Roman" w:eastAsia="方正楷体_GBK"/>
          <w:bCs/>
          <w:color w:val="000000"/>
          <w:spacing w:val="0"/>
          <w:szCs w:val="48"/>
        </w:rPr>
        <w:t>技能</w:t>
      </w:r>
      <w:r>
        <w:rPr>
          <w:rFonts w:hint="default" w:ascii="Times New Roman" w:eastAsia="方正楷体_GBK"/>
          <w:bCs/>
          <w:color w:val="000000"/>
          <w:spacing w:val="0"/>
          <w:szCs w:val="48"/>
        </w:rPr>
        <w:t>竞</w:t>
      </w:r>
      <w:r>
        <w:rPr>
          <w:rFonts w:ascii="Times New Roman" w:eastAsia="方正楷体_GBK"/>
          <w:bCs/>
          <w:color w:val="000000"/>
          <w:spacing w:val="0"/>
          <w:szCs w:val="48"/>
        </w:rPr>
        <w:t>赛。</w:t>
      </w:r>
      <w:r>
        <w:rPr>
          <w:rFonts w:hint="default"/>
          <w:color w:val="000000"/>
          <w:spacing w:val="0"/>
          <w:szCs w:val="48"/>
        </w:rPr>
        <w:t>竞赛工作体系健全，面向学生、企业职工等群体广泛开展各级各类竞赛活动。积极</w:t>
      </w:r>
      <w:r>
        <w:rPr>
          <w:color w:val="000000"/>
          <w:spacing w:val="0"/>
          <w:szCs w:val="48"/>
        </w:rPr>
        <w:t>参加世赛</w:t>
      </w:r>
      <w:r>
        <w:rPr>
          <w:rFonts w:hint="default"/>
          <w:color w:val="000000"/>
          <w:spacing w:val="0"/>
          <w:szCs w:val="48"/>
        </w:rPr>
        <w:t>、国赛、江苏技能状元大赛等国内外</w:t>
      </w:r>
      <w:r>
        <w:rPr>
          <w:color w:val="000000"/>
          <w:spacing w:val="0"/>
          <w:szCs w:val="48"/>
        </w:rPr>
        <w:t>重要技能赛事</w:t>
      </w:r>
      <w:r>
        <w:rPr>
          <w:rFonts w:hint="default"/>
          <w:color w:val="000000"/>
          <w:spacing w:val="0"/>
          <w:szCs w:val="48"/>
        </w:rPr>
        <w:t>。积极承担</w:t>
      </w:r>
      <w:r>
        <w:rPr>
          <w:color w:val="000000"/>
          <w:spacing w:val="0"/>
          <w:szCs w:val="48"/>
        </w:rPr>
        <w:t>世赛</w:t>
      </w:r>
      <w:r>
        <w:rPr>
          <w:rFonts w:hint="default"/>
          <w:color w:val="000000"/>
          <w:spacing w:val="0"/>
          <w:szCs w:val="48"/>
        </w:rPr>
        <w:t>、国赛</w:t>
      </w:r>
      <w:r>
        <w:rPr>
          <w:color w:val="000000"/>
          <w:spacing w:val="0"/>
          <w:szCs w:val="48"/>
        </w:rPr>
        <w:t>集训基地</w:t>
      </w:r>
      <w:r>
        <w:rPr>
          <w:rFonts w:hint="default"/>
          <w:color w:val="000000"/>
          <w:spacing w:val="0"/>
          <w:szCs w:val="48"/>
        </w:rPr>
        <w:t>建设任务</w:t>
      </w:r>
      <w:r>
        <w:rPr>
          <w:color w:val="000000"/>
          <w:spacing w:val="0"/>
          <w:szCs w:val="48"/>
        </w:rPr>
        <w:t>。</w:t>
      </w:r>
    </w:p>
    <w:p>
      <w:pPr>
        <w:widowControl w:val="0"/>
        <w:spacing w:line="550" w:lineRule="exact"/>
        <w:ind w:firstLine="640" w:firstLineChars="200"/>
        <w:jc w:val="both"/>
        <w:rPr>
          <w:rFonts w:eastAsia="方正黑体_GBK"/>
          <w:kern w:val="0"/>
          <w:szCs w:val="32"/>
        </w:rPr>
      </w:pPr>
      <w:r>
        <w:rPr>
          <w:rFonts w:hint="default" w:eastAsia="方正黑体_GBK"/>
          <w:kern w:val="0"/>
          <w:szCs w:val="32"/>
        </w:rPr>
        <w:t>四、申报程序</w:t>
      </w:r>
    </w:p>
    <w:p>
      <w:pPr>
        <w:spacing w:line="550" w:lineRule="exact"/>
        <w:ind w:firstLine="640" w:firstLineChars="200"/>
        <w:rPr>
          <w:color w:val="000000"/>
          <w:spacing w:val="0"/>
          <w:szCs w:val="48"/>
        </w:rPr>
      </w:pPr>
      <w:r>
        <w:rPr>
          <w:color w:val="000000"/>
          <w:spacing w:val="0"/>
          <w:szCs w:val="48"/>
        </w:rPr>
        <w:t>1</w:t>
      </w:r>
      <w:r>
        <w:rPr>
          <w:rFonts w:hint="default"/>
          <w:color w:val="000000"/>
          <w:szCs w:val="48"/>
        </w:rPr>
        <w:t>．</w:t>
      </w:r>
      <w:r>
        <w:rPr>
          <w:color w:val="000000"/>
          <w:spacing w:val="0"/>
          <w:szCs w:val="48"/>
        </w:rPr>
        <w:t>技工院校对照申报条件、评选标准进行自评，围绕主要任务制定工作方案，填报相关材料并报送至设区市人力资源社会保障局。</w:t>
      </w:r>
    </w:p>
    <w:p>
      <w:pPr>
        <w:spacing w:line="550" w:lineRule="exact"/>
        <w:ind w:firstLine="640" w:firstLineChars="200"/>
        <w:rPr>
          <w:szCs w:val="32"/>
        </w:rPr>
      </w:pPr>
      <w:r>
        <w:rPr>
          <w:color w:val="000000"/>
          <w:spacing w:val="0"/>
          <w:szCs w:val="48"/>
        </w:rPr>
        <w:t>2</w:t>
      </w:r>
      <w:r>
        <w:rPr>
          <w:rFonts w:hint="default"/>
          <w:color w:val="000000"/>
          <w:szCs w:val="48"/>
        </w:rPr>
        <w:t>．</w:t>
      </w:r>
      <w:r>
        <w:rPr>
          <w:color w:val="000000"/>
          <w:spacing w:val="0"/>
          <w:szCs w:val="48"/>
        </w:rPr>
        <w:t>设区市人力资源社会保障局根据申报条件要求，按照“公平、公正、公开”原则，开展师资研修中心项目预审、遴选工作，确定</w:t>
      </w:r>
      <w:r>
        <w:rPr>
          <w:rFonts w:hint="default"/>
          <w:color w:val="000000"/>
          <w:spacing w:val="0"/>
          <w:szCs w:val="48"/>
        </w:rPr>
        <w:t>1个</w:t>
      </w:r>
      <w:r>
        <w:rPr>
          <w:color w:val="000000"/>
          <w:spacing w:val="0"/>
          <w:szCs w:val="48"/>
        </w:rPr>
        <w:t>候选项目报省人力资源社会保障厅。在预审和遴选工作中要严格把握标准、规范操作程序，确保申报项目符合条件。</w:t>
      </w:r>
    </w:p>
    <w:p>
      <w:pPr>
        <w:spacing w:line="550" w:lineRule="exact"/>
        <w:ind w:firstLine="640" w:firstLineChars="200"/>
        <w:rPr>
          <w:color w:val="000000"/>
          <w:spacing w:val="0"/>
          <w:szCs w:val="48"/>
        </w:rPr>
      </w:pPr>
      <w:r>
        <w:rPr>
          <w:color w:val="000000"/>
          <w:spacing w:val="0"/>
          <w:szCs w:val="48"/>
        </w:rPr>
        <w:t>3</w:t>
      </w:r>
      <w:r>
        <w:rPr>
          <w:rFonts w:hint="default"/>
          <w:color w:val="000000"/>
          <w:szCs w:val="48"/>
        </w:rPr>
        <w:t>．</w:t>
      </w:r>
      <w:r>
        <w:rPr>
          <w:color w:val="000000"/>
          <w:spacing w:val="0"/>
          <w:szCs w:val="48"/>
        </w:rPr>
        <w:t>省人力资源社会保障厅组织专家对各地推荐申报的师资研修中心项目进行评审，确定拟建项目并经公示无异议后，报省财政厅进行项目预算审核。</w:t>
      </w:r>
    </w:p>
    <w:p>
      <w:pPr>
        <w:widowControl w:val="0"/>
        <w:spacing w:line="550" w:lineRule="exact"/>
        <w:ind w:firstLine="640" w:firstLineChars="200"/>
        <w:rPr>
          <w:rFonts w:eastAsia="方正黑体_GBK"/>
          <w:kern w:val="0"/>
          <w:szCs w:val="32"/>
        </w:rPr>
      </w:pPr>
      <w:r>
        <w:rPr>
          <w:rFonts w:hint="default" w:eastAsia="方正黑体_GBK"/>
          <w:kern w:val="0"/>
          <w:szCs w:val="32"/>
        </w:rPr>
        <w:t>五</w:t>
      </w:r>
      <w:r>
        <w:rPr>
          <w:rFonts w:eastAsia="方正黑体_GBK"/>
          <w:kern w:val="0"/>
          <w:szCs w:val="32"/>
        </w:rPr>
        <w:t>、项目经费</w:t>
      </w:r>
    </w:p>
    <w:p>
      <w:pPr>
        <w:widowControl w:val="0"/>
        <w:spacing w:line="550" w:lineRule="exact"/>
        <w:ind w:firstLine="640" w:firstLineChars="200"/>
        <w:rPr>
          <w:color w:val="000000"/>
          <w:spacing w:val="0"/>
          <w:szCs w:val="48"/>
        </w:rPr>
      </w:pPr>
      <w:r>
        <w:rPr>
          <w:color w:val="000000"/>
          <w:spacing w:val="0"/>
          <w:szCs w:val="48"/>
        </w:rPr>
        <w:t>师资研修中心项目建设</w:t>
      </w:r>
      <w:r>
        <w:rPr>
          <w:rFonts w:hint="default"/>
          <w:color w:val="000000"/>
          <w:spacing w:val="0"/>
          <w:szCs w:val="48"/>
        </w:rPr>
        <w:t>周</w:t>
      </w:r>
      <w:r>
        <w:rPr>
          <w:color w:val="000000"/>
          <w:spacing w:val="0"/>
          <w:szCs w:val="48"/>
        </w:rPr>
        <w:t>期</w:t>
      </w:r>
      <w:r>
        <w:rPr>
          <w:rFonts w:hint="default"/>
          <w:color w:val="000000"/>
          <w:spacing w:val="0"/>
          <w:szCs w:val="48"/>
        </w:rPr>
        <w:t>一般</w:t>
      </w:r>
      <w:r>
        <w:rPr>
          <w:color w:val="000000"/>
          <w:spacing w:val="0"/>
          <w:szCs w:val="48"/>
        </w:rPr>
        <w:t>为</w:t>
      </w:r>
      <w:r>
        <w:rPr>
          <w:rFonts w:hint="default"/>
          <w:color w:val="000000"/>
          <w:spacing w:val="0"/>
          <w:szCs w:val="48"/>
        </w:rPr>
        <w:t>2</w:t>
      </w:r>
      <w:r>
        <w:rPr>
          <w:color w:val="000000"/>
          <w:spacing w:val="0"/>
          <w:szCs w:val="48"/>
        </w:rPr>
        <w:t>年，省财政对立项建设的师资研修中心给予</w:t>
      </w:r>
      <w:r>
        <w:rPr>
          <w:rFonts w:hint="default"/>
          <w:color w:val="000000"/>
          <w:spacing w:val="0"/>
          <w:szCs w:val="48"/>
        </w:rPr>
        <w:t>一定的</w:t>
      </w:r>
      <w:r>
        <w:rPr>
          <w:color w:val="000000"/>
          <w:spacing w:val="0"/>
          <w:szCs w:val="48"/>
        </w:rPr>
        <w:t>经费支持。项目学校要多渠道筹措建设经费，积极争取行业、企业和社会投入。各市应加大师资研修中心建设扶持力度，共同推动项目建设。</w:t>
      </w:r>
    </w:p>
    <w:p>
      <w:pPr>
        <w:widowControl w:val="0"/>
        <w:spacing w:line="550" w:lineRule="exact"/>
        <w:ind w:firstLine="640" w:firstLineChars="200"/>
        <w:rPr>
          <w:rFonts w:hint="default" w:eastAsia="方正黑体_GBK"/>
          <w:kern w:val="0"/>
          <w:szCs w:val="32"/>
        </w:rPr>
      </w:pPr>
      <w:r>
        <w:rPr>
          <w:rFonts w:hint="default" w:eastAsia="方正黑体_GBK"/>
          <w:kern w:val="0"/>
          <w:szCs w:val="32"/>
        </w:rPr>
        <w:t>六、项目保障</w:t>
      </w:r>
    </w:p>
    <w:p>
      <w:pPr>
        <w:widowControl w:val="0"/>
        <w:spacing w:line="550" w:lineRule="exact"/>
        <w:ind w:firstLine="640" w:firstLineChars="200"/>
        <w:rPr>
          <w:rFonts w:hint="default" w:ascii="Times New Roman" w:eastAsia="仿宋_GB2312"/>
          <w:b/>
          <w:szCs w:val="32"/>
        </w:rPr>
      </w:pPr>
      <w:r>
        <w:rPr>
          <w:rFonts w:hint="default" w:eastAsia="方正楷体_GBK"/>
          <w:kern w:val="0"/>
          <w:szCs w:val="32"/>
        </w:rPr>
        <w:t>（一）加强组织领导。</w:t>
      </w:r>
      <w:r>
        <w:rPr>
          <w:rFonts w:hint="default"/>
          <w:color w:val="000000"/>
          <w:spacing w:val="0"/>
          <w:szCs w:val="48"/>
        </w:rPr>
        <w:t>相关技工院校应建立由院（校）长牵头，分管院（校）长具体负责的项目实施领导小组，加强对师资研修中心建设工作的组织领导。要完善项目建设管理制度，健全项目建设推进协调机制，配备专门人员系统推进各项建设工作，确保项目建设成效。要加大宣传力度，提升技工教育的影响力和美誉度。</w:t>
      </w:r>
    </w:p>
    <w:p>
      <w:pPr>
        <w:widowControl w:val="0"/>
        <w:spacing w:line="550" w:lineRule="exact"/>
        <w:ind w:firstLine="640" w:firstLineChars="200"/>
        <w:rPr>
          <w:rFonts w:hint="default"/>
          <w:color w:val="000000"/>
          <w:spacing w:val="0"/>
          <w:szCs w:val="48"/>
        </w:rPr>
      </w:pPr>
      <w:r>
        <w:rPr>
          <w:rFonts w:hint="default" w:eastAsia="方正楷体_GBK"/>
          <w:kern w:val="0"/>
          <w:szCs w:val="32"/>
        </w:rPr>
        <w:t>（二）实施过程管理。</w:t>
      </w:r>
      <w:r>
        <w:rPr>
          <w:rFonts w:hint="default"/>
          <w:color w:val="000000"/>
          <w:spacing w:val="0"/>
          <w:szCs w:val="48"/>
        </w:rPr>
        <w:t xml:space="preserve">相关技工院校应制定具体工作方案，加强对项目建设过程的管理，明确各阶段工作目标，细化工作举措，定期报送师资研修工作信息，为分析、评估师资研修中心建设、运行状况，提高项目实施的有效性提供依据。    </w:t>
      </w:r>
    </w:p>
    <w:p>
      <w:pPr>
        <w:widowControl w:val="0"/>
        <w:spacing w:line="550" w:lineRule="exact"/>
        <w:ind w:firstLine="640" w:firstLineChars="200"/>
        <w:rPr>
          <w:rFonts w:hint="default" w:eastAsia="方正楷体_GBK"/>
          <w:kern w:val="0"/>
          <w:szCs w:val="32"/>
        </w:rPr>
      </w:pPr>
      <w:r>
        <w:rPr>
          <w:rFonts w:hint="default" w:eastAsia="方正楷体_GBK"/>
          <w:kern w:val="0"/>
          <w:szCs w:val="32"/>
        </w:rPr>
        <w:t>（三）强化绩效考核。</w:t>
      </w:r>
      <w:r>
        <w:rPr>
          <w:rFonts w:hint="default"/>
          <w:color w:val="000000"/>
          <w:spacing w:val="0"/>
          <w:szCs w:val="48"/>
        </w:rPr>
        <w:t>由省人力资源社会保障厅、省财政厅联合对项目进行验收。对建设成效显著、运行机制完善、绩效特别突出的院校，给予适当奖励。对建设措施不力、绩效不合格的院校，由省人力资源社会保障厅、省财政厅责令整改，整改仍不合格的，则相应扣回已拨的专项资金。</w:t>
      </w:r>
    </w:p>
    <w:p>
      <w:pPr>
        <w:widowControl/>
        <w:spacing w:line="590" w:lineRule="exact"/>
        <w:ind w:firstLine="640" w:firstLineChars="200"/>
        <w:rPr>
          <w:rFonts w:hint="default" w:eastAsia="方正楷体_GBK"/>
          <w:kern w:val="0"/>
          <w:szCs w:val="32"/>
        </w:rPr>
      </w:pPr>
    </w:p>
    <w:p>
      <w:pPr>
        <w:widowControl/>
        <w:spacing w:line="590" w:lineRule="exact"/>
        <w:jc w:val="left"/>
        <w:rPr>
          <w:rFonts w:eastAsia="方正黑体_GBK"/>
          <w:kern w:val="0"/>
          <w:szCs w:val="32"/>
        </w:rPr>
      </w:pPr>
    </w:p>
    <w:p>
      <w:pPr>
        <w:widowControl/>
        <w:spacing w:line="590" w:lineRule="exact"/>
        <w:rPr>
          <w:rFonts w:hint="default" w:ascii="Times New Roman" w:hAnsi="Times New Roman" w:eastAsia="方正小标宋_GBK" w:cs="Times New Roman"/>
          <w:bCs/>
          <w:kern w:val="44"/>
          <w:sz w:val="44"/>
          <w:szCs w:val="44"/>
        </w:rPr>
      </w:pPr>
      <w:r>
        <w:rPr>
          <w:rFonts w:ascii="Times New Roman" w:hAnsi="Times New Roman" w:eastAsia="方正小标宋_GBK" w:cs="Times New Roman"/>
          <w:bCs/>
          <w:kern w:val="44"/>
          <w:sz w:val="44"/>
          <w:szCs w:val="44"/>
        </w:rPr>
        <w:br w:type="page"/>
      </w:r>
    </w:p>
    <w:p>
      <w:pPr>
        <w:widowControl/>
        <w:spacing w:line="580" w:lineRule="exact"/>
        <w:jc w:val="center"/>
        <w:textAlignment w:val="baseline"/>
        <w:rPr>
          <w:rFonts w:hint="default" w:ascii="Times New Roman" w:hAnsi="Times New Roman" w:eastAsia="方正小标宋_GBK" w:cs="Times New Roman"/>
          <w:bCs/>
          <w:kern w:val="44"/>
          <w:sz w:val="44"/>
          <w:szCs w:val="44"/>
        </w:rPr>
      </w:pPr>
    </w:p>
    <w:p>
      <w:pPr>
        <w:widowControl/>
        <w:spacing w:line="580" w:lineRule="exact"/>
        <w:jc w:val="center"/>
        <w:textAlignment w:val="baseline"/>
        <w:rPr>
          <w:rFonts w:hint="default" w:ascii="Times New Roman" w:hAnsi="Times New Roman" w:eastAsia="方正小标宋_GBK" w:cs="Times New Roman"/>
          <w:bCs/>
          <w:kern w:val="44"/>
          <w:sz w:val="44"/>
          <w:szCs w:val="44"/>
        </w:rPr>
      </w:pPr>
    </w:p>
    <w:p>
      <w:pPr>
        <w:widowControl/>
        <w:spacing w:line="620" w:lineRule="exact"/>
        <w:jc w:val="center"/>
        <w:textAlignment w:val="baseline"/>
        <w:rPr>
          <w:rFonts w:hint="eastAsia" w:eastAsia="方正小标宋_GBK"/>
          <w:bCs/>
          <w:kern w:val="44"/>
          <w:sz w:val="54"/>
          <w:szCs w:val="54"/>
        </w:rPr>
      </w:pPr>
      <w:r>
        <w:rPr>
          <w:rFonts w:hint="default" w:ascii="Times New Roman" w:hAnsi="Times New Roman" w:eastAsia="方正小标宋_GBK" w:cs="Times New Roman"/>
          <w:bCs/>
          <w:kern w:val="44"/>
          <w:sz w:val="54"/>
          <w:szCs w:val="54"/>
        </w:rPr>
        <w:t>江苏省技工院校师资研修中心</w:t>
      </w:r>
    </w:p>
    <w:p>
      <w:pPr>
        <w:widowControl/>
        <w:spacing w:line="620" w:lineRule="exact"/>
        <w:jc w:val="center"/>
        <w:textAlignment w:val="baseline"/>
        <w:rPr>
          <w:rFonts w:hint="default" w:ascii="Times New Roman" w:hAnsi="Times New Roman" w:eastAsia="方正小标宋_GBK" w:cs="Times New Roman"/>
          <w:sz w:val="54"/>
          <w:szCs w:val="54"/>
        </w:rPr>
      </w:pPr>
      <w:r>
        <w:rPr>
          <w:rFonts w:hint="default" w:ascii="Times New Roman" w:hAnsi="Times New Roman" w:eastAsia="方正小标宋_GBK" w:cs="Times New Roman"/>
          <w:sz w:val="54"/>
          <w:szCs w:val="54"/>
        </w:rPr>
        <w:t>申</w:t>
      </w:r>
      <w:r>
        <w:rPr>
          <w:rFonts w:hint="eastAsia" w:eastAsia="方正小标宋_GBK"/>
          <w:sz w:val="54"/>
          <w:szCs w:val="54"/>
        </w:rPr>
        <w:t xml:space="preserve"> </w:t>
      </w:r>
      <w:r>
        <w:rPr>
          <w:rFonts w:hint="default" w:ascii="Times New Roman" w:hAnsi="Times New Roman" w:eastAsia="方正小标宋_GBK" w:cs="Times New Roman"/>
          <w:sz w:val="54"/>
          <w:szCs w:val="54"/>
        </w:rPr>
        <w:t>报</w:t>
      </w:r>
      <w:r>
        <w:rPr>
          <w:rFonts w:hint="eastAsia" w:eastAsia="方正小标宋_GBK"/>
          <w:sz w:val="54"/>
          <w:szCs w:val="54"/>
        </w:rPr>
        <w:t xml:space="preserve"> </w:t>
      </w:r>
      <w:r>
        <w:rPr>
          <w:rFonts w:hint="default" w:ascii="Times New Roman" w:hAnsi="Times New Roman" w:eastAsia="方正小标宋_GBK" w:cs="Times New Roman"/>
          <w:sz w:val="54"/>
          <w:szCs w:val="54"/>
        </w:rPr>
        <w:t>书</w:t>
      </w:r>
    </w:p>
    <w:p>
      <w:pPr>
        <w:widowControl/>
        <w:spacing w:line="580" w:lineRule="exact"/>
        <w:textAlignment w:val="baseline"/>
        <w:rPr>
          <w:rFonts w:eastAsia="仿宋_GB2312"/>
          <w:sz w:val="30"/>
          <w:szCs w:val="30"/>
        </w:rPr>
      </w:pPr>
    </w:p>
    <w:p>
      <w:pPr>
        <w:widowControl/>
        <w:spacing w:line="580" w:lineRule="exact"/>
        <w:textAlignment w:val="baseline"/>
        <w:rPr>
          <w:rFonts w:hint="default" w:eastAsia="仿宋_GB2312"/>
          <w:sz w:val="30"/>
          <w:szCs w:val="30"/>
        </w:rPr>
      </w:pPr>
    </w:p>
    <w:p>
      <w:pPr>
        <w:widowControl/>
        <w:spacing w:line="580" w:lineRule="exact"/>
        <w:textAlignment w:val="baseline"/>
        <w:rPr>
          <w:rFonts w:eastAsia="仿宋_GB2312"/>
          <w:sz w:val="30"/>
          <w:szCs w:val="30"/>
        </w:rPr>
      </w:pPr>
    </w:p>
    <w:tbl>
      <w:tblPr>
        <w:tblStyle w:val="7"/>
        <w:tblW w:w="6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院校名称</w:t>
            </w:r>
          </w:p>
        </w:tc>
        <w:tc>
          <w:tcPr>
            <w:tcW w:w="4530" w:type="dxa"/>
            <w:tcBorders>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所属市别</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主管部门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法人代表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联系方式</w:t>
            </w: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办公电话：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hint="eastAsia" w:ascii="方正黑体_GBK" w:eastAsia="方正黑体_GBK"/>
              </w:rPr>
              <w:t>填表时间</w:t>
            </w:r>
          </w:p>
        </w:tc>
        <w:tc>
          <w:tcPr>
            <w:tcW w:w="4530" w:type="dxa"/>
            <w:tcBorders>
              <w:top w:val="single" w:color="auto" w:sz="8" w:space="0"/>
              <w:bottom w:val="single" w:color="auto" w:sz="8" w:space="0"/>
            </w:tcBorders>
            <w:vAlign w:val="bottom"/>
          </w:tcPr>
          <w:p>
            <w:pPr>
              <w:widowControl/>
              <w:jc w:val="center"/>
              <w:textAlignment w:val="baseline"/>
              <w:rPr>
                <w:rFonts w:eastAsia="方正楷体_GBK"/>
                <w:sz w:val="30"/>
                <w:szCs w:val="30"/>
              </w:rPr>
            </w:pPr>
          </w:p>
        </w:tc>
      </w:tr>
    </w:tbl>
    <w:p>
      <w:pPr>
        <w:widowControl/>
        <w:spacing w:line="580" w:lineRule="exact"/>
        <w:textAlignment w:val="baseline"/>
        <w:rPr>
          <w:rFonts w:eastAsia="仿宋_GB2312"/>
          <w:sz w:val="30"/>
          <w:szCs w:val="30"/>
        </w:rPr>
      </w:pPr>
    </w:p>
    <w:p>
      <w:pPr>
        <w:widowControl/>
        <w:jc w:val="center"/>
        <w:textAlignment w:val="baseline"/>
        <w:rPr>
          <w:rFonts w:hint="default" w:ascii="Times New Roman" w:eastAsia="仿宋_GB2312"/>
          <w:sz w:val="30"/>
          <w:szCs w:val="30"/>
        </w:rPr>
      </w:pPr>
    </w:p>
    <w:p>
      <w:pPr>
        <w:widowControl/>
        <w:jc w:val="center"/>
        <w:textAlignment w:val="baseline"/>
        <w:rPr>
          <w:rFonts w:hint="eastAsia" w:ascii="Times New Roman" w:eastAsia="方正楷体_GBK"/>
          <w:sz w:val="36"/>
          <w:szCs w:val="36"/>
        </w:rPr>
      </w:pPr>
      <w:r>
        <w:rPr>
          <w:rFonts w:hint="default" w:ascii="Times New Roman" w:eastAsia="方正楷体_GBK"/>
          <w:sz w:val="36"/>
          <w:szCs w:val="36"/>
        </w:rPr>
        <mc:AlternateContent>
          <mc:Choice Requires="wps">
            <w:drawing>
              <wp:anchor distT="0" distB="0" distL="114300" distR="114300" simplePos="0" relativeHeight="251660288" behindDoc="0" locked="0" layoutInCell="1" allowOverlap="1">
                <wp:simplePos x="0" y="0"/>
                <wp:positionH relativeFrom="column">
                  <wp:posOffset>3803650</wp:posOffset>
                </wp:positionH>
                <wp:positionV relativeFrom="paragraph">
                  <wp:posOffset>140335</wp:posOffset>
                </wp:positionV>
                <wp:extent cx="685800" cy="495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5800" cy="495300"/>
                        </a:xfrm>
                        <a:prstGeom prst="rect">
                          <a:avLst/>
                        </a:prstGeom>
                        <a:noFill/>
                        <a:ln>
                          <a:noFill/>
                        </a:ln>
                        <a:effectLst/>
                      </wps:spPr>
                      <wps:txbx>
                        <w:txbxContent>
                          <w:p>
                            <w:pPr>
                              <w:rPr>
                                <w:rStyle w:val="8"/>
                              </w:rPr>
                            </w:pPr>
                          </w:p>
                        </w:txbxContent>
                      </wps:txbx>
                      <wps:bodyPr upright="1"/>
                    </wps:wsp>
                  </a:graphicData>
                </a:graphic>
              </wp:anchor>
            </w:drawing>
          </mc:Choice>
          <mc:Fallback>
            <w:pict>
              <v:shape id="_x0000_s1026" o:spid="_x0000_s1026" o:spt="202" type="#_x0000_t202" style="position:absolute;left:0pt;margin-left:299.5pt;margin-top:11.05pt;height:39pt;width:54pt;z-index:251660288;mso-width-relative:page;mso-height-relative:page;" filled="f" stroked="f" coordsize="21600,21600" o:gfxdata="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db66dYAAAAKAQAADwAAAAAAAAABACAAAAAiAAAAZHJzL2Rv&#10;d25yZXYueG1sUEsBAhQAFAAAAAgAh07iQLSBXu6RAQAADQMAAA4AAAAAAAAAAQAgAAAAJQEAAGRy&#10;cy9lMm9Eb2MueG1sUEsFBgAAAAAGAAYAWQEAACgFAAAAAA==&#10;">
                <v:fill on="f" focussize="0,0"/>
                <v:stroke on="f"/>
                <v:imagedata o:title=""/>
                <o:lock v:ext="edit" aspectratio="f"/>
                <v:textbox>
                  <w:txbxContent>
                    <w:p>
                      <w:pPr>
                        <w:rPr>
                          <w:rStyle w:val="8"/>
                        </w:rPr>
                      </w:pPr>
                    </w:p>
                  </w:txbxContent>
                </v:textbox>
              </v:shape>
            </w:pict>
          </mc:Fallback>
        </mc:AlternateContent>
      </w:r>
      <w:r>
        <w:rPr>
          <w:rFonts w:hint="default" w:ascii="Times New Roman" w:eastAsia="方正楷体_GBK"/>
          <w:sz w:val="36"/>
          <w:szCs w:val="36"/>
        </w:rPr>
        <w:t>江苏省人力资源</w:t>
      </w:r>
      <w:r>
        <w:rPr>
          <w:rFonts w:hint="eastAsia" w:eastAsia="方正楷体_GBK"/>
          <w:sz w:val="36"/>
          <w:szCs w:val="36"/>
        </w:rPr>
        <w:t>和</w:t>
      </w:r>
      <w:r>
        <w:rPr>
          <w:rFonts w:hint="default" w:ascii="Times New Roman" w:eastAsia="方正楷体_GBK"/>
          <w:sz w:val="36"/>
          <w:szCs w:val="36"/>
        </w:rPr>
        <w:t>社会保障厅</w:t>
      </w:r>
      <w:r>
        <w:rPr>
          <w:rFonts w:hint="eastAsia" w:eastAsia="方正楷体_GBK"/>
          <w:sz w:val="36"/>
          <w:szCs w:val="36"/>
        </w:rPr>
        <w:t xml:space="preserve"> 制</w:t>
      </w:r>
    </w:p>
    <w:p>
      <w:pPr>
        <w:widowControl/>
        <w:jc w:val="center"/>
        <w:textAlignment w:val="baseline"/>
        <w:rPr>
          <w:rFonts w:ascii="Times New Roman" w:eastAsia="方正楷体_GBK"/>
          <w:sz w:val="36"/>
          <w:szCs w:val="36"/>
        </w:rPr>
      </w:pPr>
      <w:r>
        <w:rPr>
          <w:rFonts w:ascii="Times New Roman" w:eastAsia="方正楷体_GBK"/>
          <w:sz w:val="36"/>
          <w:szCs w:val="36"/>
        </w:rPr>
        <w:t>2021年</w:t>
      </w:r>
    </w:p>
    <w:p>
      <w:pPr>
        <w:widowControl/>
        <w:spacing w:line="580" w:lineRule="exact"/>
        <w:jc w:val="left"/>
        <w:textAlignment w:val="baseline"/>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一、基本情况</w:t>
      </w:r>
    </w:p>
    <w:tbl>
      <w:tblPr>
        <w:tblStyle w:val="6"/>
        <w:tblW w:w="88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09"/>
        <w:gridCol w:w="947"/>
        <w:gridCol w:w="924"/>
        <w:gridCol w:w="1223"/>
        <w:gridCol w:w="1395"/>
        <w:gridCol w:w="770"/>
        <w:gridCol w:w="16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54" w:hRule="atLeast"/>
          <w:jc w:val="center"/>
        </w:trPr>
        <w:tc>
          <w:tcPr>
            <w:tcW w:w="680" w:type="dxa"/>
            <w:vMerge w:val="restart"/>
            <w:textDirection w:val="tbRlV"/>
            <w:vAlign w:val="center"/>
          </w:tcPr>
          <w:p>
            <w:r>
              <w:rPr>
                <w:rFonts w:hint="default" w:ascii="Times New Roman" w:hAnsi="Times New Roman" w:eastAsia="宋体" w:cs="Times New Roman"/>
                <w:sz w:val="21"/>
                <w:szCs w:val="21"/>
              </w:rPr>
              <w:t>基</w:t>
            </w:r>
          </w:p>
          <w:p>
            <w:r>
              <w:rPr>
                <w:rFonts w:hint="default" w:ascii="Times New Roman" w:hAnsi="Times New Roman" w:eastAsia="宋体" w:cs="Times New Roman"/>
                <w:sz w:val="21"/>
                <w:szCs w:val="21"/>
              </w:rPr>
              <w:t>本</w:t>
            </w:r>
          </w:p>
          <w:p>
            <w:r>
              <w:rPr>
                <w:rFonts w:hint="default" w:ascii="Times New Roman" w:hAnsi="Times New Roman" w:eastAsia="宋体" w:cs="Times New Roman"/>
                <w:sz w:val="21"/>
                <w:szCs w:val="21"/>
              </w:rPr>
              <w:t>信</w:t>
            </w:r>
          </w:p>
          <w:p>
            <w:pPr>
              <w:widowControl/>
              <w:snapToGrid w:val="0"/>
              <w:spacing w:line="240" w:lineRule="exact"/>
              <w:ind w:left="113" w:right="113"/>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息</w:t>
            </w:r>
          </w:p>
        </w:tc>
        <w:tc>
          <w:tcPr>
            <w:tcW w:w="1209"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学校名称</w:t>
            </w:r>
          </w:p>
        </w:tc>
        <w:tc>
          <w:tcPr>
            <w:tcW w:w="6953" w:type="dxa"/>
            <w:gridSpan w:val="6"/>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92"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209"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通信地址</w:t>
            </w:r>
          </w:p>
        </w:tc>
        <w:tc>
          <w:tcPr>
            <w:tcW w:w="6953" w:type="dxa"/>
            <w:gridSpan w:val="6"/>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209" w:type="dxa"/>
            <w:vMerge w:val="restart"/>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项目负责人信息</w:t>
            </w:r>
          </w:p>
        </w:tc>
        <w:tc>
          <w:tcPr>
            <w:tcW w:w="1871"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      名</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395"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职务</w:t>
            </w:r>
          </w:p>
        </w:tc>
        <w:tc>
          <w:tcPr>
            <w:tcW w:w="2464" w:type="dxa"/>
            <w:gridSpan w:val="2"/>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209"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871"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办公室电话</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395"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传  真</w:t>
            </w:r>
          </w:p>
        </w:tc>
        <w:tc>
          <w:tcPr>
            <w:tcW w:w="2464" w:type="dxa"/>
            <w:gridSpan w:val="2"/>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eastAsia="宋体"/>
                <w:sz w:val="21"/>
                <w:szCs w:val="21"/>
              </w:rPr>
            </w:pPr>
          </w:p>
        </w:tc>
        <w:tc>
          <w:tcPr>
            <w:tcW w:w="1209" w:type="dxa"/>
            <w:vMerge w:val="continue"/>
            <w:vAlign w:val="center"/>
          </w:tcPr>
          <w:p>
            <w:pPr>
              <w:widowControl/>
              <w:snapToGrid w:val="0"/>
              <w:spacing w:line="240" w:lineRule="exact"/>
              <w:jc w:val="center"/>
              <w:textAlignment w:val="baseline"/>
              <w:rPr>
                <w:rFonts w:eastAsia="宋体"/>
                <w:sz w:val="21"/>
                <w:szCs w:val="21"/>
              </w:rPr>
            </w:pPr>
          </w:p>
        </w:tc>
        <w:tc>
          <w:tcPr>
            <w:tcW w:w="1871"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      机</w:t>
            </w:r>
          </w:p>
        </w:tc>
        <w:tc>
          <w:tcPr>
            <w:tcW w:w="1223" w:type="dxa"/>
            <w:vAlign w:val="center"/>
          </w:tcPr>
          <w:p>
            <w:pPr>
              <w:widowControl/>
              <w:snapToGrid w:val="0"/>
              <w:spacing w:line="240" w:lineRule="exact"/>
              <w:jc w:val="center"/>
              <w:textAlignment w:val="baseline"/>
              <w:rPr>
                <w:rFonts w:eastAsia="宋体"/>
                <w:sz w:val="21"/>
                <w:szCs w:val="21"/>
              </w:rPr>
            </w:pPr>
          </w:p>
        </w:tc>
        <w:tc>
          <w:tcPr>
            <w:tcW w:w="1395" w:type="dxa"/>
            <w:vAlign w:val="center"/>
          </w:tcPr>
          <w:p>
            <w:pPr>
              <w:widowControl/>
              <w:snapToGrid w:val="0"/>
              <w:spacing w:line="240" w:lineRule="exact"/>
              <w:jc w:val="center"/>
              <w:textAlignment w:val="baseline"/>
              <w:rPr>
                <w:rFonts w:eastAsia="宋体"/>
                <w:sz w:val="21"/>
                <w:szCs w:val="21"/>
              </w:rPr>
            </w:pPr>
            <w:r>
              <w:rPr>
                <w:rFonts w:eastAsia="宋体"/>
                <w:sz w:val="21"/>
                <w:szCs w:val="21"/>
              </w:rPr>
              <w:t>E-mail</w:t>
            </w:r>
          </w:p>
        </w:tc>
        <w:tc>
          <w:tcPr>
            <w:tcW w:w="2464" w:type="dxa"/>
            <w:gridSpan w:val="2"/>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restart"/>
            <w:textDirection w:val="tbRlV"/>
            <w:vAlign w:val="center"/>
          </w:tcPr>
          <w:p>
            <w:pPr>
              <w:widowControl/>
              <w:snapToGrid w:val="0"/>
              <w:spacing w:line="240" w:lineRule="exact"/>
              <w:ind w:left="113" w:right="113"/>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办学规模及层次</w:t>
            </w:r>
          </w:p>
        </w:tc>
        <w:tc>
          <w:tcPr>
            <w:tcW w:w="1209" w:type="dxa"/>
            <w:vAlign w:val="center"/>
          </w:tcPr>
          <w:p>
            <w:pPr>
              <w:widowControl/>
              <w:snapToGrid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占地面积</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（万平米）</w:t>
            </w:r>
          </w:p>
        </w:tc>
        <w:tc>
          <w:tcPr>
            <w:tcW w:w="1871"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建筑面积</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（万平米）</w:t>
            </w:r>
          </w:p>
        </w:tc>
        <w:tc>
          <w:tcPr>
            <w:tcW w:w="1395"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770"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教职工数</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全日制在校人数</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tcMar>
              <w:left w:w="0" w:type="dxa"/>
              <w:right w:w="0" w:type="dxa"/>
            </w:tcMar>
            <w:vAlign w:val="center"/>
          </w:tcPr>
          <w:p>
            <w:pPr>
              <w:widowControl/>
              <w:snapToGrid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高级技工及以上学制</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教育人数占比</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年职业培训人次</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高级技工及以上年</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培训人次</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restart"/>
            <w:textDirection w:val="tbRlV"/>
            <w:vAlign w:val="center"/>
          </w:tcPr>
          <w:p>
            <w:r>
              <w:rPr>
                <w:rFonts w:hint="default" w:ascii="Times New Roman" w:hAnsi="Times New Roman" w:eastAsia="宋体" w:cs="Times New Roman"/>
                <w:sz w:val="21"/>
                <w:szCs w:val="21"/>
              </w:rPr>
              <w:t>师</w:t>
            </w:r>
          </w:p>
          <w:p>
            <w:r>
              <w:rPr>
                <w:rFonts w:hint="default" w:ascii="Times New Roman" w:hAnsi="Times New Roman" w:eastAsia="宋体" w:cs="Times New Roman"/>
                <w:sz w:val="21"/>
                <w:szCs w:val="21"/>
              </w:rPr>
              <w:t>资</w:t>
            </w:r>
          </w:p>
          <w:p>
            <w:r>
              <w:rPr>
                <w:rFonts w:hint="default" w:ascii="Times New Roman" w:hAnsi="Times New Roman" w:eastAsia="宋体" w:cs="Times New Roman"/>
                <w:sz w:val="21"/>
                <w:szCs w:val="21"/>
              </w:rPr>
              <w:t>队</w:t>
            </w:r>
          </w:p>
          <w:p>
            <w:pPr>
              <w:widowControl/>
              <w:snapToGrid w:val="0"/>
              <w:spacing w:line="240" w:lineRule="exact"/>
              <w:ind w:left="113" w:right="113"/>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伍</w:t>
            </w: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专兼职教师总数</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师生比</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专任专业教师人数</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专任专业教师占</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专任教师比</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专任一体化教师人数</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eastAsia="宋体"/>
                <w:sz w:val="21"/>
                <w:szCs w:val="21"/>
              </w:rPr>
            </w:pPr>
            <w:r>
              <w:rPr>
                <w:rFonts w:hint="default" w:ascii="Times New Roman" w:hAnsi="Times New Roman" w:eastAsia="宋体" w:cs="Times New Roman"/>
                <w:sz w:val="21"/>
                <w:szCs w:val="21"/>
              </w:rPr>
              <w:t>专任一体化教师</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占专任专业教师比</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35"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080" w:type="dxa"/>
            <w:gridSpan w:val="3"/>
            <w:tcMar>
              <w:left w:w="0" w:type="dxa"/>
              <w:right w:w="0" w:type="dxa"/>
            </w:tcMar>
            <w:vAlign w:val="center"/>
          </w:tcPr>
          <w:p>
            <w:pPr>
              <w:widowControl/>
              <w:snapToGrid w:val="0"/>
              <w:spacing w:line="240" w:lineRule="exact"/>
              <w:jc w:val="center"/>
              <w:textAlignment w:val="baseline"/>
              <w:rPr>
                <w:rFonts w:hint="default" w:eastAsia="宋体"/>
                <w:sz w:val="21"/>
                <w:szCs w:val="21"/>
              </w:rPr>
            </w:pPr>
            <w:r>
              <w:rPr>
                <w:rFonts w:hint="default" w:ascii="Times New Roman" w:hAnsi="Times New Roman" w:eastAsia="宋体" w:cs="Times New Roman"/>
                <w:sz w:val="21"/>
                <w:szCs w:val="21"/>
              </w:rPr>
              <w:t>专任一体化教师中同时具备</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副高及以上、技师及以上的人数</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同时具备副高及</w:t>
            </w:r>
          </w:p>
          <w:p>
            <w:pPr>
              <w:widowControl/>
              <w:snapToGrid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以上、技师及以上</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专任一体化教师占比</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restart"/>
            <w:textDirection w:val="tbRlV"/>
            <w:vAlign w:val="center"/>
          </w:tcPr>
          <w:p>
            <w:pPr>
              <w:widowControl/>
              <w:snapToGrid w:val="0"/>
              <w:spacing w:line="240" w:lineRule="exact"/>
              <w:ind w:left="113" w:right="113"/>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设施设备</w:t>
            </w: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教学仪器设备（万元）</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生均（元）</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080"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校内实训室数量</w:t>
            </w:r>
          </w:p>
        </w:tc>
        <w:tc>
          <w:tcPr>
            <w:tcW w:w="122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校外实训基地数量</w:t>
            </w: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restart"/>
            <w:tcMar>
              <w:left w:w="0" w:type="dxa"/>
              <w:right w:w="0" w:type="dxa"/>
            </w:tcMar>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p>
          <w:p>
            <w:pPr>
              <w:widowControl/>
              <w:snapToGrid w:val="0"/>
              <w:spacing w:line="240" w:lineRule="exact"/>
              <w:jc w:val="center"/>
              <w:textAlignment w:val="baseline"/>
              <w:rPr>
                <w:rFonts w:hint="default" w:eastAsia="宋体"/>
                <w:sz w:val="21"/>
                <w:szCs w:val="21"/>
              </w:rPr>
            </w:pPr>
            <w:r>
              <w:rPr>
                <w:rFonts w:hint="default" w:ascii="Times New Roman" w:hAnsi="Times New Roman" w:eastAsia="宋体" w:cs="Times New Roman"/>
                <w:sz w:val="21"/>
                <w:szCs w:val="21"/>
              </w:rPr>
              <w:t>年</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培</w:t>
            </w:r>
          </w:p>
          <w:p>
            <w:pPr>
              <w:widowControl/>
              <w:snapToGrid w:val="0"/>
              <w:spacing w:line="240" w:lineRule="exact"/>
              <w:jc w:val="center"/>
              <w:textAlignment w:val="baseline"/>
              <w:rPr>
                <w:rFonts w:hint="default" w:eastAsia="宋体"/>
                <w:sz w:val="21"/>
                <w:szCs w:val="21"/>
              </w:rPr>
            </w:pPr>
            <w:r>
              <w:rPr>
                <w:rFonts w:hint="default" w:ascii="Times New Roman" w:hAnsi="Times New Roman" w:eastAsia="宋体" w:cs="Times New Roman"/>
                <w:sz w:val="21"/>
                <w:szCs w:val="21"/>
              </w:rPr>
              <w:t>训</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业</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绩</w:t>
            </w:r>
          </w:p>
        </w:tc>
        <w:tc>
          <w:tcPr>
            <w:tcW w:w="2156"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年度</w:t>
            </w:r>
          </w:p>
        </w:tc>
        <w:tc>
          <w:tcPr>
            <w:tcW w:w="214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师资培训人次</w:t>
            </w: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职业培训人次</w:t>
            </w: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高级技师（技师）研修人次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4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4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4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restart"/>
            <w:vAlign w:val="center"/>
          </w:tcPr>
          <w:p>
            <w:pPr>
              <w:widowControl w:val="0"/>
              <w:spacing w:line="240" w:lineRule="auto"/>
              <w:ind w:right="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技</w:t>
            </w:r>
          </w:p>
          <w:p>
            <w:pPr>
              <w:widowControl w:val="0"/>
              <w:spacing w:line="240" w:lineRule="auto"/>
              <w:ind w:right="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能</w:t>
            </w:r>
          </w:p>
          <w:p>
            <w:pPr>
              <w:widowControl w:val="0"/>
              <w:spacing w:line="240" w:lineRule="auto"/>
              <w:ind w:right="0"/>
              <w:jc w:val="both"/>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竞</w:t>
            </w:r>
          </w:p>
          <w:p>
            <w:pPr>
              <w:widowControl w:val="0"/>
              <w:spacing w:line="240" w:lineRule="auto"/>
              <w:ind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0"/>
                <w:sz w:val="21"/>
                <w:szCs w:val="21"/>
              </w:rPr>
              <w:t>赛</w:t>
            </w:r>
          </w:p>
        </w:tc>
        <w:tc>
          <w:tcPr>
            <w:tcW w:w="2156" w:type="dxa"/>
            <w:gridSpan w:val="2"/>
            <w:tcMar>
              <w:left w:w="0" w:type="dxa"/>
              <w:right w:w="0" w:type="dxa"/>
            </w:tcMar>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国家级世赛基地数量</w:t>
            </w:r>
          </w:p>
        </w:tc>
        <w:tc>
          <w:tcPr>
            <w:tcW w:w="214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省级世赛基地数量</w:t>
            </w: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国家级国赛基地数量</w:t>
            </w:r>
          </w:p>
        </w:tc>
        <w:tc>
          <w:tcPr>
            <w:tcW w:w="214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省级国赛基地数量</w:t>
            </w: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r>
              <w:rPr>
                <w:rFonts w:hint="default" w:ascii="Times New Roman" w:hAnsi="Times New Roman" w:eastAsia="宋体" w:cs="Times New Roman"/>
                <w:sz w:val="21"/>
                <w:szCs w:val="21"/>
              </w:rPr>
              <w:t>赛事类别</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eastAsia" w:eastAsia="宋体"/>
                <w:sz w:val="21"/>
                <w:szCs w:val="21"/>
              </w:rPr>
              <w:t>（</w:t>
            </w:r>
            <w:r>
              <w:rPr>
                <w:rFonts w:eastAsia="宋体"/>
                <w:sz w:val="21"/>
                <w:szCs w:val="21"/>
              </w:rPr>
              <w:t>世赛/国赛/状元赛</w:t>
            </w:r>
            <w:r>
              <w:rPr>
                <w:rFonts w:hint="eastAsia" w:eastAsia="宋体"/>
                <w:sz w:val="21"/>
                <w:szCs w:val="21"/>
              </w:rPr>
              <w:t>）</w:t>
            </w:r>
          </w:p>
        </w:tc>
        <w:tc>
          <w:tcPr>
            <w:tcW w:w="4312" w:type="dxa"/>
            <w:gridSpan w:val="4"/>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项目时间、名称</w:t>
            </w: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4312" w:type="dxa"/>
            <w:gridSpan w:val="4"/>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4312" w:type="dxa"/>
            <w:gridSpan w:val="4"/>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94"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eastAsia="宋体"/>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p>
        </w:tc>
        <w:tc>
          <w:tcPr>
            <w:tcW w:w="4312" w:type="dxa"/>
            <w:gridSpan w:val="4"/>
            <w:vAlign w:val="center"/>
          </w:tcPr>
          <w:p>
            <w:pPr>
              <w:widowControl/>
              <w:snapToGrid w:val="0"/>
              <w:spacing w:line="240" w:lineRule="exact"/>
              <w:jc w:val="center"/>
              <w:textAlignment w:val="baseline"/>
              <w:rPr>
                <w:rFonts w:hint="default" w:eastAsia="宋体"/>
                <w:sz w:val="21"/>
                <w:szCs w:val="21"/>
              </w:rPr>
            </w:pP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eastAsia="宋体"/>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p>
        </w:tc>
        <w:tc>
          <w:tcPr>
            <w:tcW w:w="4312" w:type="dxa"/>
            <w:gridSpan w:val="4"/>
            <w:vAlign w:val="center"/>
          </w:tcPr>
          <w:p>
            <w:pPr>
              <w:widowControl/>
              <w:snapToGrid w:val="0"/>
              <w:spacing w:line="240" w:lineRule="exact"/>
              <w:jc w:val="center"/>
              <w:textAlignment w:val="baseline"/>
              <w:rPr>
                <w:rFonts w:hint="default" w:eastAsia="宋体"/>
                <w:sz w:val="21"/>
                <w:szCs w:val="21"/>
              </w:rPr>
            </w:pP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eastAsia="宋体"/>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p>
        </w:tc>
        <w:tc>
          <w:tcPr>
            <w:tcW w:w="4312" w:type="dxa"/>
            <w:gridSpan w:val="4"/>
            <w:vAlign w:val="center"/>
          </w:tcPr>
          <w:p>
            <w:pPr>
              <w:widowControl/>
              <w:snapToGrid w:val="0"/>
              <w:spacing w:line="240" w:lineRule="exact"/>
              <w:jc w:val="center"/>
              <w:textAlignment w:val="baseline"/>
              <w:rPr>
                <w:rFonts w:hint="default" w:eastAsia="宋体"/>
                <w:sz w:val="21"/>
                <w:szCs w:val="21"/>
              </w:rPr>
            </w:pP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680" w:type="dxa"/>
            <w:vMerge w:val="continue"/>
            <w:vAlign w:val="center"/>
          </w:tcPr>
          <w:p>
            <w:pPr>
              <w:widowControl/>
              <w:snapToGrid w:val="0"/>
              <w:spacing w:line="240" w:lineRule="exact"/>
              <w:jc w:val="center"/>
              <w:textAlignment w:val="baseline"/>
              <w:rPr>
                <w:rFonts w:hint="default" w:eastAsia="宋体"/>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p>
        </w:tc>
        <w:tc>
          <w:tcPr>
            <w:tcW w:w="4312" w:type="dxa"/>
            <w:gridSpan w:val="4"/>
            <w:vAlign w:val="center"/>
          </w:tcPr>
          <w:p>
            <w:pPr>
              <w:widowControl/>
              <w:snapToGrid w:val="0"/>
              <w:spacing w:line="240" w:lineRule="exact"/>
              <w:jc w:val="center"/>
              <w:textAlignment w:val="baseline"/>
              <w:rPr>
                <w:rFonts w:hint="default" w:eastAsia="宋体"/>
                <w:sz w:val="21"/>
                <w:szCs w:val="21"/>
              </w:rPr>
            </w:pP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jc w:val="center"/>
        </w:trPr>
        <w:tc>
          <w:tcPr>
            <w:tcW w:w="680" w:type="dxa"/>
            <w:vMerge w:val="continue"/>
            <w:vAlign w:val="center"/>
          </w:tcPr>
          <w:p>
            <w:pPr>
              <w:widowControl/>
              <w:snapToGrid w:val="0"/>
              <w:spacing w:line="240" w:lineRule="exact"/>
              <w:jc w:val="center"/>
              <w:textAlignment w:val="baseline"/>
              <w:rPr>
                <w:rFonts w:hint="default" w:eastAsia="宋体"/>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p>
        </w:tc>
        <w:tc>
          <w:tcPr>
            <w:tcW w:w="4312" w:type="dxa"/>
            <w:gridSpan w:val="4"/>
            <w:vAlign w:val="center"/>
          </w:tcPr>
          <w:p>
            <w:pPr>
              <w:widowControl/>
              <w:snapToGrid w:val="0"/>
              <w:spacing w:line="240" w:lineRule="exact"/>
              <w:jc w:val="center"/>
              <w:textAlignment w:val="baseline"/>
              <w:rPr>
                <w:rFonts w:hint="default" w:eastAsia="宋体"/>
                <w:sz w:val="21"/>
                <w:szCs w:val="21"/>
              </w:rPr>
            </w:pPr>
          </w:p>
        </w:tc>
        <w:tc>
          <w:tcPr>
            <w:tcW w:w="1694" w:type="dxa"/>
            <w:vAlign w:val="center"/>
          </w:tcPr>
          <w:p>
            <w:pPr>
              <w:widowControl/>
              <w:snapToGrid w:val="0"/>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jc w:val="center"/>
        </w:trPr>
        <w:tc>
          <w:tcPr>
            <w:tcW w:w="680" w:type="dxa"/>
            <w:vMerge w:val="continue"/>
            <w:vAlign w:val="center"/>
          </w:tcPr>
          <w:p>
            <w:pPr>
              <w:widowControl/>
              <w:snapToGrid w:val="0"/>
              <w:spacing w:line="240" w:lineRule="exact"/>
              <w:jc w:val="center"/>
              <w:textAlignment w:val="baseline"/>
              <w:rPr>
                <w:rFonts w:hint="default" w:eastAsia="宋体"/>
                <w:sz w:val="21"/>
                <w:szCs w:val="21"/>
              </w:rPr>
            </w:pPr>
          </w:p>
        </w:tc>
        <w:tc>
          <w:tcPr>
            <w:tcW w:w="2156" w:type="dxa"/>
            <w:gridSpan w:val="2"/>
            <w:tcMar>
              <w:left w:w="0" w:type="dxa"/>
              <w:right w:w="0" w:type="dxa"/>
            </w:tcMar>
            <w:vAlign w:val="center"/>
          </w:tcPr>
          <w:p>
            <w:pPr>
              <w:widowControl/>
              <w:snapToGrid w:val="0"/>
              <w:spacing w:line="240" w:lineRule="exact"/>
              <w:jc w:val="center"/>
              <w:textAlignment w:val="baseline"/>
              <w:rPr>
                <w:rFonts w:hint="default" w:eastAsia="宋体"/>
                <w:sz w:val="21"/>
                <w:szCs w:val="21"/>
              </w:rPr>
            </w:pPr>
          </w:p>
        </w:tc>
        <w:tc>
          <w:tcPr>
            <w:tcW w:w="4312" w:type="dxa"/>
            <w:gridSpan w:val="4"/>
            <w:vAlign w:val="center"/>
          </w:tcPr>
          <w:p>
            <w:pPr>
              <w:widowControl/>
              <w:snapToGrid w:val="0"/>
              <w:spacing w:line="240" w:lineRule="exact"/>
              <w:jc w:val="center"/>
              <w:textAlignment w:val="baseline"/>
              <w:rPr>
                <w:rFonts w:hint="default" w:eastAsia="宋体"/>
                <w:sz w:val="21"/>
                <w:szCs w:val="21"/>
              </w:rPr>
            </w:pPr>
          </w:p>
        </w:tc>
        <w:tc>
          <w:tcPr>
            <w:tcW w:w="1694" w:type="dxa"/>
            <w:vAlign w:val="center"/>
          </w:tcPr>
          <w:p>
            <w:pPr>
              <w:widowControl/>
              <w:snapToGrid w:val="0"/>
              <w:spacing w:line="240" w:lineRule="exact"/>
              <w:jc w:val="center"/>
              <w:textAlignment w:val="baseline"/>
              <w:rPr>
                <w:rFonts w:eastAsia="宋体"/>
                <w:sz w:val="21"/>
                <w:szCs w:val="21"/>
              </w:rPr>
            </w:pPr>
          </w:p>
        </w:tc>
      </w:tr>
    </w:tbl>
    <w:p>
      <w:pPr>
        <w:widowControl/>
        <w:spacing w:line="580" w:lineRule="exact"/>
        <w:textAlignment w:val="baseline"/>
        <w:rPr>
          <w:rFonts w:ascii="Times New Roman" w:hAnsi="Times New Roman" w:eastAsia="黑体"/>
          <w:bCs/>
          <w:sz w:val="32"/>
          <w:szCs w:val="32"/>
        </w:rPr>
      </w:pPr>
      <w:r>
        <w:rPr>
          <w:rFonts w:eastAsia="方正黑体_GBK"/>
          <w:bCs/>
          <w:sz w:val="24"/>
        </w:rPr>
        <w:br w:type="page"/>
      </w:r>
      <w:r>
        <w:rPr>
          <w:rFonts w:hint="default" w:ascii="Times New Roman" w:hAnsi="Times New Roman" w:eastAsia="方正黑体_GBK" w:cs="Times New Roman"/>
          <w:sz w:val="32"/>
          <w:szCs w:val="32"/>
        </w:rPr>
        <w:t>二、申报师资研修中心基本情况及建设方案</w:t>
      </w:r>
    </w:p>
    <w:tbl>
      <w:tblPr>
        <w:tblStyle w:val="6"/>
        <w:tblpPr w:tblpXSpec="right" w:tblpY="0"/>
        <w:tblW w:w="88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964"/>
        <w:gridCol w:w="6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2696" w:type="dxa"/>
            <w:gridSpan w:val="2"/>
            <w:vAlign w:val="center"/>
          </w:tcPr>
          <w:p>
            <w:pPr>
              <w:widowControl/>
              <w:spacing w:line="3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申报项目名称</w:t>
            </w:r>
          </w:p>
        </w:tc>
        <w:tc>
          <w:tcPr>
            <w:tcW w:w="6195" w:type="dxa"/>
            <w:vAlign w:val="center"/>
          </w:tcPr>
          <w:p>
            <w:pPr>
              <w:widowControl/>
              <w:spacing w:line="580" w:lineRule="exact"/>
              <w:textAlignment w:val="baseline"/>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11" w:hRule="atLeast"/>
          <w:jc w:val="center"/>
        </w:trPr>
        <w:tc>
          <w:tcPr>
            <w:tcW w:w="732" w:type="dxa"/>
            <w:textDirection w:val="tbRlV"/>
            <w:vAlign w:val="center"/>
          </w:tcPr>
          <w:p>
            <w:pPr>
              <w:widowControl/>
              <w:spacing w:line="300" w:lineRule="exact"/>
              <w:ind w:right="113"/>
              <w:jc w:val="center"/>
              <w:textAlignment w:val="baseline"/>
              <w:rPr>
                <w:rFonts w:eastAsia="宋体"/>
                <w:snapToGrid w:val="0"/>
                <w:kern w:val="0"/>
                <w:sz w:val="21"/>
                <w:szCs w:val="21"/>
              </w:rPr>
            </w:pPr>
            <w:r>
              <w:rPr>
                <w:rFonts w:hint="default" w:ascii="Times New Roman" w:hAnsi="Times New Roman" w:eastAsia="宋体" w:cs="Times New Roman"/>
                <w:snapToGrid w:val="0"/>
                <w:kern w:val="0"/>
                <w:sz w:val="21"/>
                <w:szCs w:val="21"/>
              </w:rPr>
              <w:t>建设方案</w:t>
            </w:r>
          </w:p>
        </w:tc>
        <w:tc>
          <w:tcPr>
            <w:tcW w:w="8159" w:type="dxa"/>
            <w:gridSpan w:val="2"/>
            <w:vAlign w:val="top"/>
          </w:tcPr>
          <w:p>
            <w:pPr>
              <w:spacing w:line="360" w:lineRule="exact"/>
              <w:rPr>
                <w:rFonts w:eastAsia="宋体"/>
                <w:sz w:val="21"/>
                <w:szCs w:val="21"/>
              </w:rPr>
            </w:pPr>
            <w:r>
              <w:rPr>
                <w:rFonts w:hint="default" w:ascii="Times New Roman" w:hAnsi="Times New Roman" w:eastAsia="宋体" w:cs="Times New Roman"/>
                <w:b w:val="0"/>
                <w:sz w:val="21"/>
                <w:szCs w:val="21"/>
              </w:rPr>
              <w:t>项目建设方案概述</w:t>
            </w:r>
            <w:r>
              <w:rPr>
                <w:rFonts w:eastAsia="宋体"/>
                <w:sz w:val="21"/>
                <w:szCs w:val="21"/>
              </w:rPr>
              <w:t>（</w:t>
            </w:r>
            <w:r>
              <w:rPr>
                <w:rFonts w:hint="default" w:ascii="Times New Roman" w:hAnsi="Times New Roman" w:eastAsia="宋体" w:cs="Times New Roman"/>
                <w:sz w:val="21"/>
                <w:szCs w:val="21"/>
              </w:rPr>
              <w:t>建设必要性、建设基础、建设目标与思路、建设任务和举措、建设进度、建设资金预算及用向、运营与管理、特色与创新等。</w:t>
            </w:r>
            <w:r>
              <w:rPr>
                <w:rFonts w:eastAsia="宋体"/>
                <w:sz w:val="21"/>
                <w:szCs w:val="21"/>
              </w:rPr>
              <w:t>）</w:t>
            </w:r>
          </w:p>
          <w:p>
            <w:pPr>
              <w:widowControl/>
              <w:spacing w:line="580" w:lineRule="exact"/>
              <w:textAlignment w:val="baseline"/>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tabs>
                <w:tab w:val="left" w:pos="1600"/>
              </w:tabs>
              <w:rPr>
                <w:rFonts w:eastAsia="宋体"/>
                <w:sz w:val="21"/>
                <w:szCs w:val="21"/>
              </w:rPr>
            </w:pPr>
            <w:r>
              <w:rPr>
                <w:rFonts w:eastAsia="宋体"/>
                <w:sz w:val="21"/>
                <w:szCs w:val="21"/>
              </w:rPr>
              <w:tab/>
            </w: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bl>
    <w:p>
      <w:pPr>
        <w:widowControl/>
        <w:spacing w:line="580" w:lineRule="exact"/>
        <w:textAlignment w:val="baseline"/>
        <w:rPr>
          <w:rFonts w:ascii="Times New Roman" w:hAnsi="Times New Roman" w:eastAsia="黑体"/>
          <w:bCs/>
          <w:sz w:val="32"/>
          <w:szCs w:val="32"/>
        </w:rPr>
      </w:pPr>
      <w:r>
        <w:rPr>
          <w:rFonts w:eastAsia="方正黑体_GBK"/>
          <w:bCs/>
          <w:sz w:val="24"/>
        </w:rPr>
        <w:br w:type="page"/>
      </w:r>
      <w:r>
        <w:rPr>
          <w:rFonts w:eastAsia="方正黑体_GBK"/>
          <w:bCs/>
          <w:sz w:val="32"/>
          <w:szCs w:val="32"/>
        </w:rPr>
        <w:t>三、审核与批准意见</w:t>
      </w:r>
    </w:p>
    <w:tbl>
      <w:tblPr>
        <w:tblStyle w:val="6"/>
        <w:tblW w:w="889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555" w:hRule="atLeast"/>
          <w:jc w:val="center"/>
        </w:trPr>
        <w:tc>
          <w:tcPr>
            <w:tcW w:w="8896" w:type="dxa"/>
            <w:tcBorders>
              <w:top w:val="single" w:color="000000" w:sz="8" w:space="0"/>
              <w:left w:val="single" w:color="000000" w:sz="8" w:space="0"/>
              <w:bottom w:val="single" w:color="000000" w:sz="6" w:space="0"/>
              <w:right w:val="single" w:color="000000" w:sz="8" w:space="0"/>
            </w:tcBorders>
            <w:vAlign w:val="top"/>
          </w:tcPr>
          <w:p>
            <w:pPr>
              <w:widowControl/>
              <w:snapToGrid w:val="0"/>
              <w:spacing w:line="400" w:lineRule="exact"/>
              <w:textAlignment w:val="baseline"/>
              <w:rPr>
                <w:rFonts w:eastAsia="宋体"/>
                <w:b w:val="0"/>
                <w:sz w:val="21"/>
                <w:szCs w:val="21"/>
              </w:rPr>
            </w:pPr>
            <w:r>
              <w:rPr>
                <w:rFonts w:eastAsia="宋体"/>
                <w:b w:val="0"/>
                <w:sz w:val="21"/>
                <w:szCs w:val="21"/>
              </w:rPr>
              <w:t>市级人社部门意见</w:t>
            </w:r>
          </w:p>
          <w:p>
            <w:pPr>
              <w:widowControl/>
              <w:snapToGrid w:val="0"/>
              <w:ind w:firstLine="420" w:firstLineChars="200"/>
              <w:textAlignment w:val="baseline"/>
              <w:rPr>
                <w:rFonts w:eastAsia="宋体"/>
                <w:b w:val="0"/>
                <w:sz w:val="21"/>
                <w:szCs w:val="21"/>
              </w:rPr>
            </w:pPr>
          </w:p>
          <w:p>
            <w:pPr>
              <w:widowControl/>
              <w:snapToGrid w:val="0"/>
              <w:textAlignment w:val="baseline"/>
              <w:rPr>
                <w:rFonts w:eastAsia="宋体"/>
                <w:b w:val="0"/>
                <w:sz w:val="21"/>
                <w:szCs w:val="21"/>
              </w:rPr>
            </w:pPr>
          </w:p>
          <w:p/>
          <w:p/>
          <w:p/>
          <w:p/>
          <w:p>
            <w:r>
              <w:rPr>
                <w:rFonts w:hint="default" w:eastAsia="宋体"/>
                <w:sz w:val="21"/>
                <w:szCs w:val="21"/>
              </w:rPr>
              <w:t xml:space="preserve">  </w:t>
            </w:r>
          </w:p>
          <w:p>
            <w:pPr>
              <w:widowControl/>
              <w:snapToGrid w:val="0"/>
              <w:textAlignment w:val="baseline"/>
              <w:rPr>
                <w:rFonts w:eastAsia="宋体"/>
                <w:sz w:val="21"/>
                <w:szCs w:val="21"/>
              </w:rPr>
            </w:pPr>
          </w:p>
          <w:p>
            <w:pPr>
              <w:widowControl/>
              <w:snapToGrid w:val="0"/>
              <w:textAlignment w:val="baseline"/>
              <w:rPr>
                <w:rFonts w:hint="eastAsia" w:eastAsia="宋体"/>
                <w:sz w:val="21"/>
                <w:szCs w:val="21"/>
              </w:rPr>
            </w:pPr>
          </w:p>
          <w:p>
            <w:pPr>
              <w:widowControl/>
              <w:snapToGrid w:val="0"/>
              <w:textAlignment w:val="baseline"/>
              <w:rPr>
                <w:rFonts w:hint="eastAsia" w:eastAsia="宋体"/>
                <w:sz w:val="21"/>
                <w:szCs w:val="21"/>
              </w:rPr>
            </w:pPr>
          </w:p>
          <w:p>
            <w:pPr>
              <w:widowControl/>
              <w:snapToGrid w:val="0"/>
              <w:textAlignment w:val="baseline"/>
              <w:rPr>
                <w:rFonts w:hint="eastAsia" w:eastAsia="宋体"/>
                <w:sz w:val="21"/>
                <w:szCs w:val="21"/>
              </w:rPr>
            </w:pPr>
          </w:p>
          <w:p>
            <w:pPr>
              <w:widowControl/>
              <w:snapToGrid w:val="0"/>
              <w:textAlignment w:val="baseline"/>
              <w:rPr>
                <w:rFonts w:hint="eastAsia" w:eastAsia="宋体"/>
                <w:sz w:val="21"/>
                <w:szCs w:val="21"/>
              </w:rPr>
            </w:pPr>
          </w:p>
          <w:p>
            <w:pPr>
              <w:widowControl/>
              <w:snapToGrid w:val="0"/>
              <w:textAlignment w:val="baseline"/>
              <w:rPr>
                <w:rFonts w:eastAsia="宋体"/>
                <w:b w:val="0"/>
                <w:sz w:val="21"/>
                <w:szCs w:val="21"/>
              </w:rPr>
            </w:pPr>
          </w:p>
          <w:p>
            <w:r>
              <w:rPr>
                <w:rFonts w:eastAsia="宋体"/>
                <w:b w:val="0"/>
                <w:sz w:val="21"/>
                <w:szCs w:val="21"/>
              </w:rPr>
              <w:t xml:space="preserve">            </w:t>
            </w:r>
            <w:r>
              <w:rPr>
                <w:rFonts w:hint="default" w:ascii="Times New Roman" w:hAnsi="Times New Roman" w:eastAsia="宋体" w:cs="Times New Roman"/>
                <w:b w:val="0"/>
                <w:sz w:val="21"/>
                <w:szCs w:val="21"/>
              </w:rPr>
              <w:t xml:space="preserve">                   </w:t>
            </w:r>
            <w:r>
              <w:rPr>
                <w:rFonts w:hint="default" w:eastAsia="宋体"/>
                <w:sz w:val="21"/>
                <w:szCs w:val="21"/>
              </w:rPr>
              <w:t xml:space="preserve">   </w:t>
            </w:r>
            <w:r>
              <w:rPr>
                <w:rFonts w:hint="default" w:ascii="Times New Roman" w:hAnsi="Times New Roman" w:eastAsia="宋体" w:cs="Times New Roman"/>
                <w:b w:val="0"/>
                <w:sz w:val="21"/>
                <w:szCs w:val="21"/>
              </w:rPr>
              <w:t xml:space="preserve">   </w:t>
            </w:r>
            <w:r>
              <w:rPr>
                <w:rFonts w:hint="default" w:eastAsia="宋体"/>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cs="Times New Roman"/>
                <w:sz w:val="21"/>
                <w:szCs w:val="21"/>
              </w:rPr>
              <w:t>XX市人力资源和社会保障局（公章）</w:t>
            </w:r>
          </w:p>
          <w:p>
            <w:pPr>
              <w:widowControl/>
              <w:snapToGrid w:val="0"/>
              <w:spacing w:line="46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p>
            <w:pPr>
              <w:widowControl/>
              <w:snapToGrid w:val="0"/>
              <w:spacing w:line="460" w:lineRule="exact"/>
              <w:textAlignment w:val="baseline"/>
              <w:rPr>
                <w:rFonts w:hint="default" w:eastAsia="宋体"/>
                <w:sz w:val="21"/>
                <w:szCs w:val="21"/>
              </w:rPr>
            </w:pPr>
            <w:r>
              <w:rPr>
                <w:rFonts w:hint="default" w:ascii="Times New Roman" w:hAnsi="Times New Roman" w:eastAsia="宋体" w:cs="Times New Roman"/>
                <w:sz w:val="21"/>
                <w:szCs w:val="21"/>
              </w:rPr>
              <w:t xml:space="preserve">                                         </w:t>
            </w:r>
            <w:r>
              <w:rPr>
                <w:rFonts w:hint="default" w:eastAsia="宋体"/>
                <w:sz w:val="21"/>
                <w:szCs w:val="21"/>
              </w:rPr>
              <w:t xml:space="preserve">   </w:t>
            </w:r>
            <w:r>
              <w:rPr>
                <w:rFonts w:hint="default" w:ascii="Times New Roman" w:hAnsi="Times New Roman" w:eastAsia="宋体" w:cs="Times New Roman"/>
                <w:sz w:val="21"/>
                <w:szCs w:val="21"/>
              </w:rPr>
              <w:t xml:space="preserve"> </w:t>
            </w:r>
            <w:r>
              <w:rPr>
                <w:rFonts w:hint="default" w:eastAsia="宋体"/>
                <w:sz w:val="21"/>
                <w:szCs w:val="21"/>
              </w:rPr>
              <w:t xml:space="preserve">   </w:t>
            </w:r>
            <w:r>
              <w:rPr>
                <w:rFonts w:hint="default" w:ascii="Times New Roman" w:hAnsi="Times New Roman" w:eastAsia="宋体" w:cs="Times New Roman"/>
                <w:sz w:val="21"/>
                <w:szCs w:val="21"/>
              </w:rPr>
              <w:t xml:space="preserve">  年    月   日</w:t>
            </w:r>
          </w:p>
          <w:p>
            <w:pPr>
              <w:widowControl/>
              <w:snapToGrid w:val="0"/>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3" w:hRule="atLeast"/>
          <w:jc w:val="center"/>
        </w:trPr>
        <w:tc>
          <w:tcPr>
            <w:tcW w:w="8896" w:type="dxa"/>
            <w:tcBorders>
              <w:top w:val="single" w:color="000000" w:sz="6" w:space="0"/>
              <w:left w:val="single" w:color="000000" w:sz="8" w:space="0"/>
              <w:bottom w:val="single" w:color="000000" w:sz="6" w:space="0"/>
              <w:right w:val="single" w:color="000000" w:sz="8" w:space="0"/>
            </w:tcBorders>
            <w:vAlign w:val="top"/>
          </w:tcPr>
          <w:p>
            <w:pPr>
              <w:widowControl/>
              <w:spacing w:line="400" w:lineRule="exact"/>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省级专家组评审意见</w:t>
            </w:r>
          </w:p>
          <w:p/>
          <w:p/>
          <w:p/>
          <w:p>
            <w:pPr>
              <w:widowControl/>
              <w:spacing w:line="580" w:lineRule="exact"/>
              <w:ind w:right="420"/>
              <w:jc w:val="right"/>
              <w:textAlignment w:val="baseline"/>
              <w:rPr>
                <w:rFonts w:hint="default" w:ascii="Times New Roman" w:hAnsi="Times New Roman" w:eastAsia="宋体" w:cs="Times New Roman"/>
                <w:b w:val="0"/>
                <w:sz w:val="21"/>
                <w:szCs w:val="21"/>
              </w:rPr>
            </w:pPr>
          </w:p>
          <w:p>
            <w:pPr>
              <w:widowControl/>
              <w:spacing w:line="240" w:lineRule="exact"/>
              <w:ind w:left="4963" w:leftChars="1551" w:right="420" w:firstLine="525" w:firstLineChars="250"/>
              <w:jc w:val="both"/>
              <w:textAlignment w:val="baseline"/>
              <w:rPr>
                <w:rFonts w:hint="default" w:eastAsia="宋体"/>
                <w:sz w:val="21"/>
                <w:szCs w:val="21"/>
              </w:rPr>
            </w:pPr>
            <w:r>
              <w:rPr>
                <w:rFonts w:hint="default" w:ascii="Times New Roman" w:hAnsi="Times New Roman" w:eastAsia="宋体" w:cs="Times New Roman"/>
                <w:b w:val="0"/>
                <w:sz w:val="21"/>
                <w:szCs w:val="21"/>
              </w:rPr>
              <w:t xml:space="preserve">                                   </w:t>
            </w:r>
            <w:r>
              <w:rPr>
                <w:rFonts w:hint="default" w:eastAsia="宋体"/>
                <w:sz w:val="21"/>
                <w:szCs w:val="21"/>
              </w:rPr>
              <w:t xml:space="preserve">           </w:t>
            </w:r>
            <w:r>
              <w:rPr>
                <w:rFonts w:hint="default" w:ascii="Times New Roman" w:hAnsi="Times New Roman" w:eastAsia="宋体" w:cs="Times New Roman"/>
                <w:b w:val="0"/>
                <w:sz w:val="21"/>
                <w:szCs w:val="21"/>
              </w:rPr>
              <w:t xml:space="preserve">  </w:t>
            </w:r>
            <w:r>
              <w:rPr>
                <w:rFonts w:hint="default" w:eastAsia="宋体"/>
                <w:sz w:val="21"/>
                <w:szCs w:val="21"/>
              </w:rPr>
              <w:t xml:space="preserve">                  </w:t>
            </w:r>
          </w:p>
          <w:p>
            <w:pPr>
              <w:widowControl/>
              <w:spacing w:line="240" w:lineRule="exact"/>
              <w:ind w:left="4963" w:leftChars="1551" w:right="420" w:firstLine="525" w:firstLineChars="250"/>
              <w:jc w:val="both"/>
              <w:textAlignment w:val="baseline"/>
              <w:rPr>
                <w:rFonts w:hint="default" w:eastAsia="宋体"/>
                <w:sz w:val="21"/>
                <w:szCs w:val="21"/>
              </w:rPr>
            </w:pPr>
          </w:p>
          <w:p>
            <w:pPr>
              <w:widowControl/>
              <w:spacing w:line="240" w:lineRule="exact"/>
              <w:ind w:left="4963" w:leftChars="1551" w:right="420" w:firstLine="525" w:firstLineChars="250"/>
              <w:jc w:val="both"/>
              <w:textAlignment w:val="baseline"/>
              <w:rPr>
                <w:rFonts w:hint="eastAsia" w:eastAsia="宋体"/>
                <w:sz w:val="21"/>
                <w:szCs w:val="21"/>
              </w:rPr>
            </w:pPr>
          </w:p>
          <w:p>
            <w:pPr>
              <w:widowControl/>
              <w:spacing w:line="240" w:lineRule="exact"/>
              <w:ind w:left="4963" w:leftChars="1551" w:right="420" w:firstLine="525" w:firstLineChars="250"/>
              <w:jc w:val="both"/>
              <w:textAlignment w:val="baseline"/>
              <w:rPr>
                <w:rFonts w:hint="eastAsia" w:eastAsia="宋体"/>
                <w:sz w:val="21"/>
                <w:szCs w:val="21"/>
              </w:rPr>
            </w:pPr>
          </w:p>
          <w:p>
            <w:pPr>
              <w:widowControl/>
              <w:spacing w:line="240" w:lineRule="exact"/>
              <w:ind w:left="4963" w:leftChars="1551" w:right="420" w:firstLine="525" w:firstLineChars="250"/>
              <w:jc w:val="both"/>
              <w:textAlignment w:val="baseline"/>
              <w:rPr>
                <w:rFonts w:hint="eastAsia" w:eastAsia="宋体"/>
                <w:sz w:val="21"/>
                <w:szCs w:val="21"/>
              </w:rPr>
            </w:pPr>
          </w:p>
          <w:p>
            <w:pPr>
              <w:widowControl/>
              <w:spacing w:line="240" w:lineRule="exact"/>
              <w:ind w:left="4963" w:leftChars="1551" w:right="420" w:firstLine="525" w:firstLineChars="250"/>
              <w:jc w:val="both"/>
              <w:textAlignment w:val="baseline"/>
              <w:rPr>
                <w:rFonts w:hint="eastAsia" w:eastAsia="宋体"/>
                <w:sz w:val="21"/>
                <w:szCs w:val="21"/>
              </w:rPr>
            </w:pPr>
          </w:p>
          <w:p>
            <w:pPr>
              <w:widowControl/>
              <w:spacing w:line="240" w:lineRule="exact"/>
              <w:ind w:left="4963" w:leftChars="1551" w:right="420" w:firstLine="525" w:firstLineChars="250"/>
              <w:jc w:val="both"/>
              <w:textAlignment w:val="baseline"/>
              <w:rPr>
                <w:rFonts w:hint="eastAsia" w:eastAsia="宋体"/>
                <w:sz w:val="21"/>
                <w:szCs w:val="21"/>
              </w:rPr>
            </w:pPr>
          </w:p>
          <w:p>
            <w:pPr>
              <w:widowControl/>
              <w:spacing w:line="240" w:lineRule="exact"/>
              <w:ind w:left="4963" w:leftChars="1551" w:right="420" w:firstLine="525" w:firstLineChars="250"/>
              <w:jc w:val="both"/>
              <w:textAlignment w:val="baseline"/>
              <w:rPr>
                <w:rFonts w:hint="eastAsia" w:eastAsia="宋体"/>
                <w:sz w:val="21"/>
                <w:szCs w:val="21"/>
              </w:rPr>
            </w:pPr>
          </w:p>
          <w:p>
            <w:pPr>
              <w:widowControl/>
              <w:spacing w:line="240" w:lineRule="exact"/>
              <w:ind w:left="4963" w:leftChars="1551" w:right="420" w:firstLine="525" w:firstLineChars="250"/>
              <w:jc w:val="both"/>
              <w:textAlignment w:val="baseline"/>
              <w:rPr>
                <w:rFonts w:hint="default" w:eastAsia="宋体"/>
                <w:sz w:val="21"/>
                <w:szCs w:val="21"/>
              </w:rPr>
            </w:pPr>
          </w:p>
          <w:p>
            <w:r>
              <w:rPr>
                <w:rFonts w:hint="default" w:ascii="Times New Roman" w:hAnsi="Times New Roman" w:eastAsia="宋体" w:cs="Times New Roman"/>
                <w:sz w:val="21"/>
                <w:szCs w:val="21"/>
              </w:rPr>
              <w:t>专家组组长签名：</w:t>
            </w:r>
          </w:p>
          <w:p>
            <w:pPr>
              <w:widowControl/>
              <w:spacing w:line="340" w:lineRule="exact"/>
              <w:ind w:right="420" w:firstLine="5040" w:firstLineChars="2400"/>
              <w:jc w:val="both"/>
              <w:textAlignment w:val="baseline"/>
              <w:rPr>
                <w:rFonts w:hint="eastAsia" w:ascii="Times New Roman" w:hAnsi="Times New Roman" w:eastAsia="宋体" w:cs="Times New Roman"/>
                <w:sz w:val="21"/>
                <w:szCs w:val="21"/>
              </w:rPr>
            </w:pPr>
          </w:p>
          <w:p>
            <w:pPr>
              <w:widowControl/>
              <w:spacing w:line="220" w:lineRule="exact"/>
              <w:ind w:right="420" w:firstLine="5040" w:firstLineChars="2400"/>
              <w:jc w:val="both"/>
              <w:textAlignment w:val="baseline"/>
              <w:rPr>
                <w:rFonts w:hint="default" w:eastAsia="宋体"/>
                <w:sz w:val="21"/>
                <w:szCs w:val="21"/>
              </w:rPr>
            </w:pPr>
          </w:p>
          <w:p>
            <w:pPr>
              <w:widowControl/>
              <w:spacing w:line="340" w:lineRule="exact"/>
              <w:ind w:right="420" w:firstLine="6300" w:firstLineChars="30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884" w:hRule="atLeast"/>
          <w:jc w:val="center"/>
        </w:trPr>
        <w:tc>
          <w:tcPr>
            <w:tcW w:w="8896" w:type="dxa"/>
            <w:tcBorders>
              <w:top w:val="single" w:color="000000" w:sz="6" w:space="0"/>
              <w:left w:val="single" w:color="000000" w:sz="8" w:space="0"/>
              <w:bottom w:val="single" w:color="000000" w:sz="8" w:space="0"/>
              <w:right w:val="single" w:color="000000" w:sz="8" w:space="0"/>
            </w:tcBorders>
            <w:vAlign w:val="top"/>
          </w:tcPr>
          <w:p>
            <w:pPr>
              <w:widowControl/>
              <w:spacing w:line="400" w:lineRule="exact"/>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省级人社部门意见</w:t>
            </w:r>
          </w:p>
          <w:p>
            <w:pPr>
              <w:widowControl/>
              <w:spacing w:line="580" w:lineRule="exact"/>
              <w:textAlignment w:val="baseline"/>
              <w:rPr>
                <w:rFonts w:hint="default" w:ascii="Times New Roman" w:hAnsi="Times New Roman" w:eastAsia="宋体" w:cs="Times New Roman"/>
                <w:b w:val="0"/>
                <w:sz w:val="21"/>
                <w:szCs w:val="21"/>
              </w:rPr>
            </w:pPr>
          </w:p>
          <w:p/>
          <w:p/>
          <w:p>
            <w:pPr>
              <w:widowControl/>
              <w:spacing w:line="460" w:lineRule="exact"/>
              <w:textAlignment w:val="baseline"/>
              <w:rPr>
                <w:rFonts w:hint="default" w:eastAsia="宋体"/>
                <w:sz w:val="21"/>
                <w:szCs w:val="21"/>
              </w:rPr>
            </w:pPr>
            <w:r>
              <w:rPr>
                <w:rFonts w:hint="default" w:ascii="Times New Roman" w:hAnsi="Times New Roman" w:eastAsia="宋体" w:cs="Times New Roman"/>
                <w:b w:val="0"/>
                <w:sz w:val="21"/>
                <w:szCs w:val="21"/>
              </w:rPr>
              <w:t xml:space="preserve">                             </w:t>
            </w:r>
          </w:p>
          <w:p>
            <w:pPr>
              <w:widowControl/>
              <w:spacing w:line="460" w:lineRule="exact"/>
              <w:textAlignment w:val="baseline"/>
              <w:rPr>
                <w:rFonts w:hint="eastAsia" w:eastAsia="宋体"/>
                <w:sz w:val="21"/>
                <w:szCs w:val="21"/>
              </w:rPr>
            </w:pPr>
          </w:p>
          <w:p>
            <w:pPr>
              <w:widowControl/>
              <w:spacing w:line="460" w:lineRule="exact"/>
              <w:textAlignment w:val="baseline"/>
              <w:rPr>
                <w:rFonts w:hint="eastAsia" w:eastAsia="宋体"/>
                <w:sz w:val="21"/>
                <w:szCs w:val="21"/>
              </w:rPr>
            </w:pPr>
          </w:p>
          <w:p>
            <w:pPr>
              <w:widowControl/>
              <w:spacing w:line="460" w:lineRule="exact"/>
              <w:textAlignment w:val="baseline"/>
              <w:rPr>
                <w:rFonts w:hint="default" w:eastAsia="宋体"/>
                <w:sz w:val="21"/>
                <w:szCs w:val="21"/>
              </w:rPr>
            </w:pPr>
            <w:r>
              <w:rPr>
                <w:rFonts w:hint="default" w:ascii="Times New Roman" w:hAnsi="Times New Roman" w:eastAsia="宋体" w:cs="Times New Roman"/>
                <w:b w:val="0"/>
                <w:sz w:val="21"/>
                <w:szCs w:val="21"/>
              </w:rPr>
              <w:t xml:space="preserve">    </w:t>
            </w:r>
          </w:p>
          <w:p>
            <w:pPr>
              <w:widowControl/>
              <w:spacing w:line="460" w:lineRule="exact"/>
              <w:ind w:firstLine="4095" w:firstLineChars="1950"/>
              <w:textAlignment w:val="baseline"/>
              <w:rPr>
                <w:rFonts w:hint="default" w:ascii="Times New Roman" w:hAnsi="Times New Roman" w:eastAsia="宋体" w:cs="Times New Roman"/>
                <w:sz w:val="21"/>
                <w:szCs w:val="21"/>
              </w:rPr>
            </w:pPr>
            <w:r>
              <w:rPr>
                <w:rFonts w:hint="default" w:ascii="Times New Roman" w:hAnsi="Times New Roman" w:eastAsia="宋体" w:cs="Times New Roman"/>
                <w:b w:val="0"/>
                <w:sz w:val="21"/>
                <w:szCs w:val="21"/>
              </w:rPr>
              <w:t xml:space="preserve"> </w:t>
            </w:r>
            <w:r>
              <w:rPr>
                <w:rFonts w:hint="default" w:ascii="Times New Roman" w:hAnsi="Times New Roman" w:eastAsia="宋体" w:cs="Times New Roman"/>
                <w:sz w:val="21"/>
                <w:szCs w:val="21"/>
              </w:rPr>
              <w:t>江苏省人力资源和社会保障厅（公章）</w:t>
            </w:r>
          </w:p>
          <w:p>
            <w:pPr>
              <w:widowControl/>
              <w:spacing w:line="460" w:lineRule="exact"/>
              <w:textAlignment w:val="baseline"/>
              <w:rPr>
                <w:rFonts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eastAsia="宋体"/>
                <w:sz w:val="21"/>
                <w:szCs w:val="21"/>
              </w:rPr>
              <w:t xml:space="preserve">       </w:t>
            </w:r>
            <w:r>
              <w:rPr>
                <w:rFonts w:hint="default" w:ascii="Times New Roman" w:hAnsi="Times New Roman" w:eastAsia="宋体" w:cs="Times New Roman"/>
                <w:sz w:val="21"/>
                <w:szCs w:val="21"/>
              </w:rPr>
              <w:t xml:space="preserve">  年    月   日</w:t>
            </w:r>
          </w:p>
        </w:tc>
      </w:tr>
    </w:tbl>
    <w:p>
      <w:pPr>
        <w:widowControl/>
        <w:spacing w:line="580" w:lineRule="exact"/>
        <w:jc w:val="left"/>
        <w:textAlignment w:val="baseline"/>
        <w:sectPr>
          <w:headerReference r:id="rId3" w:type="default"/>
          <w:footerReference r:id="rId4" w:type="default"/>
          <w:pgSz w:w="11906" w:h="16838"/>
          <w:pgMar w:top="2041" w:right="1531" w:bottom="1928" w:left="1531" w:header="851" w:footer="1531" w:gutter="0"/>
          <w:cols w:space="720" w:num="1"/>
          <w:docGrid w:linePitch="312" w:charSpace="0"/>
        </w:sectPr>
      </w:pPr>
    </w:p>
    <w:p>
      <w:pPr>
        <w:widowControl w:val="0"/>
        <w:adjustRightInd w:val="0"/>
        <w:snapToGrid w:val="0"/>
        <w:spacing w:before="100" w:beforeAutospacing="1" w:line="580" w:lineRule="exact"/>
        <w:jc w:val="center"/>
        <w:textAlignment w:val="baseline"/>
        <w:rPr>
          <w:rFonts w:hint="default" w:eastAsia="方正小标宋_GBK"/>
          <w:sz w:val="44"/>
          <w:szCs w:val="44"/>
        </w:rPr>
      </w:pPr>
      <w:r>
        <w:rPr>
          <w:rFonts w:hint="default" w:ascii="Times New Roman" w:hAnsi="Times New Roman" w:eastAsia="方正小标宋_GBK" w:cs="Times New Roman"/>
          <w:sz w:val="44"/>
          <w:szCs w:val="44"/>
        </w:rPr>
        <w:t>江苏省技工院校师资研修中心评选标准</w:t>
      </w:r>
    </w:p>
    <w:p>
      <w:pPr>
        <w:widowControl w:val="0"/>
        <w:adjustRightInd w:val="0"/>
        <w:snapToGrid w:val="0"/>
        <w:spacing w:after="100" w:afterAutospacing="1" w:line="580" w:lineRule="exact"/>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（基础分15分）</w:t>
      </w:r>
    </w:p>
    <w:tbl>
      <w:tblPr>
        <w:tblStyle w:val="6"/>
        <w:tblW w:w="88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
      <w:tblGrid>
        <w:gridCol w:w="1348"/>
        <w:gridCol w:w="1208"/>
        <w:gridCol w:w="4812"/>
        <w:gridCol w:w="721"/>
        <w:gridCol w:w="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670" w:hRule="atLeast"/>
          <w:tblHeader/>
          <w:jc w:val="center"/>
        </w:trPr>
        <w:tc>
          <w:tcPr>
            <w:tcW w:w="1348" w:type="dxa"/>
            <w:vAlign w:val="center"/>
          </w:tcPr>
          <w:p>
            <w:pPr>
              <w:widowControl/>
              <w:spacing w:line="240" w:lineRule="exact"/>
              <w:jc w:val="center"/>
              <w:textAlignment w:val="baseline"/>
              <w:rPr>
                <w:rFonts w:hint="default" w:ascii="Times New Roman" w:hAnsi="Times New Roman" w:eastAsia="方正黑体_GBK" w:cs="Times New Roman"/>
                <w:b w:val="0"/>
                <w:bCs/>
                <w:sz w:val="18"/>
                <w:szCs w:val="18"/>
              </w:rPr>
            </w:pPr>
            <w:r>
              <w:rPr>
                <w:rFonts w:hint="default" w:ascii="Times New Roman" w:hAnsi="Times New Roman" w:eastAsia="方正黑体_GBK" w:cs="Times New Roman"/>
                <w:b w:val="0"/>
                <w:bCs/>
                <w:sz w:val="18"/>
                <w:szCs w:val="18"/>
              </w:rPr>
              <w:t>一级指标</w:t>
            </w:r>
          </w:p>
        </w:tc>
        <w:tc>
          <w:tcPr>
            <w:tcW w:w="1208" w:type="dxa"/>
            <w:vAlign w:val="center"/>
          </w:tcPr>
          <w:p>
            <w:pPr>
              <w:widowControl/>
              <w:spacing w:line="240" w:lineRule="exact"/>
              <w:jc w:val="center"/>
              <w:textAlignment w:val="baseline"/>
              <w:rPr>
                <w:rFonts w:hint="default" w:ascii="Times New Roman" w:hAnsi="Times New Roman" w:eastAsia="方正黑体_GBK" w:cs="Times New Roman"/>
                <w:b w:val="0"/>
                <w:bCs/>
                <w:sz w:val="18"/>
                <w:szCs w:val="18"/>
              </w:rPr>
            </w:pPr>
            <w:r>
              <w:rPr>
                <w:rFonts w:hint="default" w:ascii="Times New Roman" w:hAnsi="Times New Roman" w:eastAsia="方正黑体_GBK" w:cs="Times New Roman"/>
                <w:b w:val="0"/>
                <w:bCs/>
                <w:sz w:val="18"/>
                <w:szCs w:val="18"/>
              </w:rPr>
              <w:t>二级指标</w:t>
            </w:r>
          </w:p>
        </w:tc>
        <w:tc>
          <w:tcPr>
            <w:tcW w:w="4812" w:type="dxa"/>
            <w:vAlign w:val="center"/>
          </w:tcPr>
          <w:p>
            <w:pPr>
              <w:widowControl/>
              <w:spacing w:line="240" w:lineRule="exact"/>
              <w:jc w:val="center"/>
              <w:textAlignment w:val="baseline"/>
              <w:rPr>
                <w:rFonts w:hint="default" w:ascii="Times New Roman" w:hAnsi="Times New Roman" w:eastAsia="方正黑体_GBK" w:cs="Times New Roman"/>
                <w:b w:val="0"/>
                <w:bCs/>
                <w:sz w:val="18"/>
                <w:szCs w:val="18"/>
              </w:rPr>
            </w:pPr>
            <w:r>
              <w:rPr>
                <w:rFonts w:hint="default" w:ascii="Times New Roman" w:hAnsi="Times New Roman" w:eastAsia="方正黑体_GBK" w:cs="Times New Roman"/>
                <w:b w:val="0"/>
                <w:bCs/>
                <w:sz w:val="18"/>
                <w:szCs w:val="18"/>
              </w:rPr>
              <w:t>评审内容</w:t>
            </w:r>
          </w:p>
        </w:tc>
        <w:tc>
          <w:tcPr>
            <w:tcW w:w="721" w:type="dxa"/>
            <w:vAlign w:val="center"/>
          </w:tcPr>
          <w:p>
            <w:pPr>
              <w:widowControl/>
              <w:spacing w:line="240" w:lineRule="exact"/>
              <w:jc w:val="center"/>
              <w:textAlignment w:val="baseline"/>
              <w:rPr>
                <w:rFonts w:hint="default" w:ascii="Times New Roman" w:hAnsi="Times New Roman" w:eastAsia="方正黑体_GBK" w:cs="Times New Roman"/>
                <w:b w:val="0"/>
                <w:bCs/>
                <w:sz w:val="18"/>
                <w:szCs w:val="18"/>
              </w:rPr>
            </w:pPr>
            <w:r>
              <w:rPr>
                <w:rFonts w:hint="default" w:ascii="Times New Roman" w:hAnsi="Times New Roman" w:eastAsia="方正黑体_GBK" w:cs="Times New Roman"/>
                <w:b w:val="0"/>
                <w:bCs/>
                <w:sz w:val="18"/>
                <w:szCs w:val="18"/>
              </w:rPr>
              <w:t>分值</w:t>
            </w:r>
          </w:p>
        </w:tc>
        <w:tc>
          <w:tcPr>
            <w:tcW w:w="714" w:type="dxa"/>
            <w:vAlign w:val="center"/>
          </w:tcPr>
          <w:p>
            <w:pPr>
              <w:widowControl/>
              <w:spacing w:line="240" w:lineRule="exact"/>
              <w:jc w:val="center"/>
              <w:textAlignment w:val="baseline"/>
              <w:rPr>
                <w:rFonts w:hint="default" w:ascii="Times New Roman" w:hAnsi="Times New Roman" w:eastAsia="方正黑体_GBK" w:cs="Times New Roman"/>
                <w:b w:val="0"/>
                <w:bCs/>
                <w:sz w:val="18"/>
                <w:szCs w:val="18"/>
              </w:rPr>
            </w:pPr>
            <w:r>
              <w:rPr>
                <w:rFonts w:hint="default" w:ascii="Times New Roman" w:hAnsi="Times New Roman" w:eastAsia="方正黑体_GBK" w:cs="Times New Roman"/>
                <w:b w:val="0"/>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696" w:hRule="atLeast"/>
          <w:jc w:val="center"/>
        </w:trPr>
        <w:tc>
          <w:tcPr>
            <w:tcW w:w="134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一、</w:t>
            </w:r>
            <w:r>
              <w:rPr>
                <w:rFonts w:eastAsia="宋体"/>
                <w:b w:val="0"/>
                <w:bCs/>
                <w:sz w:val="18"/>
                <w:szCs w:val="18"/>
              </w:rPr>
              <w:t>师资队伍</w:t>
            </w:r>
          </w:p>
        </w:tc>
        <w:tc>
          <w:tcPr>
            <w:tcW w:w="120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1-1教师</w:t>
            </w:r>
            <w:r>
              <w:rPr>
                <w:rFonts w:eastAsia="宋体"/>
                <w:b w:val="0"/>
                <w:bCs/>
                <w:sz w:val="18"/>
                <w:szCs w:val="18"/>
              </w:rPr>
              <w:t>数量</w:t>
            </w:r>
          </w:p>
        </w:tc>
        <w:tc>
          <w:tcPr>
            <w:tcW w:w="4812" w:type="dxa"/>
            <w:vAlign w:val="center"/>
          </w:tcPr>
          <w:p>
            <w:pPr>
              <w:widowControl/>
              <w:snapToGrid w:val="0"/>
              <w:spacing w:line="240" w:lineRule="exact"/>
              <w:textAlignment w:val="baseline"/>
              <w:rPr>
                <w:rFonts w:hint="default" w:eastAsia="宋体"/>
                <w:sz w:val="18"/>
                <w:szCs w:val="18"/>
              </w:rPr>
            </w:pPr>
            <w:r>
              <w:rPr>
                <w:rFonts w:hint="default" w:eastAsia="宋体"/>
                <w:sz w:val="18"/>
                <w:szCs w:val="18"/>
              </w:rPr>
              <w:t>建有一支数量充足 、结构合理的专兼职教师队伍，</w:t>
            </w:r>
            <w:r>
              <w:rPr>
                <w:rFonts w:eastAsia="宋体"/>
                <w:sz w:val="18"/>
                <w:szCs w:val="18"/>
              </w:rPr>
              <w:t>学制教育师生比不低于1：18</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hint="default" w:eastAsia="宋体"/>
                <w:b w:val="0"/>
                <w:bCs/>
                <w:sz w:val="18"/>
                <w:szCs w:val="18"/>
              </w:rPr>
            </w:pPr>
          </w:p>
        </w:tc>
        <w:tc>
          <w:tcPr>
            <w:tcW w:w="1208" w:type="dxa"/>
            <w:vMerge w:val="continue"/>
            <w:vAlign w:val="center"/>
          </w:tcPr>
          <w:p>
            <w:pPr>
              <w:widowControl/>
              <w:spacing w:line="240" w:lineRule="exact"/>
              <w:jc w:val="center"/>
              <w:textAlignment w:val="baseline"/>
              <w:rPr>
                <w:rFonts w:hint="default" w:eastAsia="宋体"/>
                <w:b w:val="0"/>
                <w:bCs/>
                <w:sz w:val="18"/>
                <w:szCs w:val="18"/>
              </w:rPr>
            </w:pPr>
          </w:p>
        </w:tc>
        <w:tc>
          <w:tcPr>
            <w:tcW w:w="4812" w:type="dxa"/>
            <w:vAlign w:val="center"/>
          </w:tcPr>
          <w:p>
            <w:pPr>
              <w:widowControl/>
              <w:snapToGrid w:val="0"/>
              <w:spacing w:line="240" w:lineRule="exact"/>
              <w:textAlignment w:val="baseline"/>
              <w:rPr>
                <w:rFonts w:eastAsia="宋体"/>
                <w:sz w:val="18"/>
                <w:szCs w:val="18"/>
              </w:rPr>
            </w:pPr>
            <w:r>
              <w:rPr>
                <w:rFonts w:eastAsia="宋体"/>
                <w:sz w:val="18"/>
                <w:szCs w:val="18"/>
              </w:rPr>
              <w:t>兼职教师比例不超过30%</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57"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1-2师资</w:t>
            </w:r>
            <w:r>
              <w:rPr>
                <w:rFonts w:eastAsia="宋体"/>
                <w:b w:val="0"/>
                <w:bCs/>
                <w:sz w:val="18"/>
                <w:szCs w:val="18"/>
              </w:rPr>
              <w:t>结构</w:t>
            </w:r>
          </w:p>
        </w:tc>
        <w:tc>
          <w:tcPr>
            <w:tcW w:w="4812" w:type="dxa"/>
            <w:vAlign w:val="center"/>
          </w:tcPr>
          <w:p>
            <w:pPr>
              <w:widowControl/>
              <w:snapToGrid w:val="0"/>
              <w:spacing w:line="240" w:lineRule="exact"/>
              <w:textAlignment w:val="baseline"/>
              <w:rPr>
                <w:rFonts w:hint="default" w:eastAsia="宋体"/>
                <w:sz w:val="18"/>
                <w:szCs w:val="18"/>
              </w:rPr>
            </w:pPr>
            <w:r>
              <w:rPr>
                <w:rFonts w:hint="default" w:eastAsia="宋体"/>
                <w:sz w:val="18"/>
                <w:szCs w:val="18"/>
              </w:rPr>
              <w:t>技术理论课教师和实习指导</w:t>
            </w:r>
            <w:r>
              <w:rPr>
                <w:rFonts w:eastAsia="宋体"/>
                <w:sz w:val="18"/>
                <w:szCs w:val="18"/>
              </w:rPr>
              <w:t>教师占比达70%</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695"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Merge w:val="continue"/>
            <w:vAlign w:val="center"/>
          </w:tcPr>
          <w:p>
            <w:pPr>
              <w:widowControl/>
              <w:spacing w:line="240" w:lineRule="exact"/>
              <w:jc w:val="center"/>
              <w:textAlignment w:val="baseline"/>
              <w:rPr>
                <w:rFonts w:hint="default" w:eastAsia="宋体"/>
                <w:b w:val="0"/>
                <w:bCs/>
                <w:sz w:val="18"/>
                <w:szCs w:val="18"/>
              </w:rPr>
            </w:pPr>
          </w:p>
        </w:tc>
        <w:tc>
          <w:tcPr>
            <w:tcW w:w="4812" w:type="dxa"/>
            <w:vAlign w:val="center"/>
          </w:tcPr>
          <w:p>
            <w:pPr>
              <w:widowControl/>
              <w:snapToGrid w:val="0"/>
              <w:spacing w:line="240" w:lineRule="exact"/>
              <w:textAlignment w:val="baseline"/>
              <w:rPr>
                <w:rFonts w:hint="default" w:eastAsia="宋体"/>
                <w:sz w:val="18"/>
                <w:szCs w:val="18"/>
              </w:rPr>
            </w:pPr>
            <w:r>
              <w:rPr>
                <w:rFonts w:hint="default" w:eastAsia="宋体"/>
                <w:sz w:val="18"/>
                <w:szCs w:val="18"/>
              </w:rPr>
              <w:t>技术理论课教师和实习指导教师中一体化教师</w:t>
            </w:r>
            <w:r>
              <w:rPr>
                <w:rFonts w:eastAsia="宋体"/>
                <w:sz w:val="18"/>
                <w:szCs w:val="18"/>
              </w:rPr>
              <w:t>比例达70%以上，同时具备副高及以上职称、技师技能等级及以上的占比达40%</w:t>
            </w:r>
            <w:r>
              <w:rPr>
                <w:rFonts w:hint="default" w:eastAsia="宋体"/>
                <w:sz w:val="18"/>
                <w:szCs w:val="18"/>
              </w:rPr>
              <w:t>以上。</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691" w:hRule="atLeast"/>
          <w:jc w:val="center"/>
        </w:trPr>
        <w:tc>
          <w:tcPr>
            <w:tcW w:w="134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二、</w:t>
            </w:r>
            <w:r>
              <w:rPr>
                <w:rFonts w:eastAsia="宋体"/>
                <w:b w:val="0"/>
                <w:bCs/>
                <w:sz w:val="18"/>
                <w:szCs w:val="18"/>
              </w:rPr>
              <w:t>设施设备</w:t>
            </w: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2-1</w:t>
            </w:r>
            <w:r>
              <w:rPr>
                <w:rFonts w:eastAsia="宋体"/>
                <w:b w:val="0"/>
                <w:bCs/>
                <w:sz w:val="18"/>
                <w:szCs w:val="18"/>
              </w:rPr>
              <w:t>设备总值</w:t>
            </w:r>
          </w:p>
        </w:tc>
        <w:tc>
          <w:tcPr>
            <w:tcW w:w="4812" w:type="dxa"/>
            <w:vAlign w:val="center"/>
          </w:tcPr>
          <w:p>
            <w:pPr>
              <w:widowControl/>
              <w:snapToGrid w:val="0"/>
              <w:spacing w:line="240" w:lineRule="exact"/>
              <w:textAlignment w:val="baseline"/>
              <w:rPr>
                <w:rFonts w:hint="default" w:eastAsia="宋体"/>
                <w:sz w:val="18"/>
                <w:szCs w:val="18"/>
              </w:rPr>
            </w:pPr>
            <w:r>
              <w:rPr>
                <w:rFonts w:hint="default" w:eastAsia="宋体"/>
                <w:sz w:val="18"/>
                <w:szCs w:val="18"/>
              </w:rPr>
              <w:t>校内教学设施设备配置较为完备，实训装备较为先进，能较好满足学生实习实训需求，</w:t>
            </w:r>
            <w:r>
              <w:rPr>
                <w:rFonts w:eastAsia="宋体"/>
                <w:sz w:val="18"/>
                <w:szCs w:val="18"/>
              </w:rPr>
              <w:t>设备总值达7000万元</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2-2录播场所</w:t>
            </w:r>
          </w:p>
        </w:tc>
        <w:tc>
          <w:tcPr>
            <w:tcW w:w="4812" w:type="dxa"/>
            <w:vAlign w:val="center"/>
          </w:tcPr>
          <w:p>
            <w:pPr>
              <w:widowControl/>
              <w:snapToGrid w:val="0"/>
              <w:spacing w:line="240" w:lineRule="exact"/>
              <w:textAlignment w:val="baseline"/>
              <w:rPr>
                <w:rFonts w:hint="default" w:eastAsia="宋体"/>
                <w:sz w:val="18"/>
                <w:szCs w:val="18"/>
              </w:rPr>
            </w:pPr>
            <w:r>
              <w:rPr>
                <w:rFonts w:hint="default" w:eastAsia="宋体"/>
                <w:sz w:val="18"/>
                <w:szCs w:val="18"/>
              </w:rPr>
              <w:t>建有先进的远程培训录播场所</w:t>
            </w:r>
            <w:r>
              <w:rPr>
                <w:rFonts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三、</w:t>
            </w:r>
            <w:r>
              <w:rPr>
                <w:rFonts w:eastAsia="宋体"/>
                <w:b w:val="0"/>
                <w:bCs/>
                <w:sz w:val="18"/>
                <w:szCs w:val="18"/>
              </w:rPr>
              <w:t>培训业绩</w:t>
            </w:r>
          </w:p>
        </w:tc>
        <w:tc>
          <w:tcPr>
            <w:tcW w:w="120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3-1</w:t>
            </w:r>
            <w:r>
              <w:rPr>
                <w:rFonts w:eastAsia="宋体"/>
                <w:b w:val="0"/>
                <w:bCs/>
                <w:sz w:val="18"/>
                <w:szCs w:val="18"/>
              </w:rPr>
              <w:t>师资培训</w:t>
            </w:r>
          </w:p>
        </w:tc>
        <w:tc>
          <w:tcPr>
            <w:tcW w:w="4812" w:type="dxa"/>
            <w:vAlign w:val="center"/>
          </w:tcPr>
          <w:p>
            <w:pPr>
              <w:widowControl/>
              <w:snapToGrid w:val="0"/>
              <w:spacing w:line="240" w:lineRule="exact"/>
              <w:textAlignment w:val="baseline"/>
              <w:rPr>
                <w:rFonts w:hint="default" w:eastAsia="宋体"/>
                <w:sz w:val="18"/>
                <w:szCs w:val="18"/>
              </w:rPr>
            </w:pPr>
            <w:r>
              <w:rPr>
                <w:rFonts w:eastAsia="宋体"/>
                <w:sz w:val="18"/>
                <w:szCs w:val="18"/>
              </w:rPr>
              <w:t>校内培训机制健全，常态化开展</w:t>
            </w:r>
            <w:r>
              <w:rPr>
                <w:rFonts w:hint="default" w:eastAsia="宋体"/>
                <w:sz w:val="18"/>
                <w:szCs w:val="18"/>
              </w:rPr>
              <w:t>校内</w:t>
            </w:r>
            <w:r>
              <w:rPr>
                <w:rFonts w:eastAsia="宋体"/>
                <w:sz w:val="18"/>
                <w:szCs w:val="18"/>
              </w:rPr>
              <w:t>师资队伍培训</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hint="default" w:eastAsia="宋体"/>
                <w:b w:val="0"/>
                <w:bCs/>
                <w:sz w:val="18"/>
                <w:szCs w:val="18"/>
              </w:rPr>
            </w:pPr>
          </w:p>
        </w:tc>
        <w:tc>
          <w:tcPr>
            <w:tcW w:w="1208" w:type="dxa"/>
            <w:vMerge w:val="continue"/>
            <w:vAlign w:val="center"/>
          </w:tcPr>
          <w:p>
            <w:pPr>
              <w:widowControl/>
              <w:spacing w:line="240" w:lineRule="exact"/>
              <w:jc w:val="center"/>
              <w:textAlignment w:val="baseline"/>
              <w:rPr>
                <w:rFonts w:hint="default" w:eastAsia="宋体"/>
                <w:b w:val="0"/>
                <w:bCs/>
                <w:sz w:val="18"/>
                <w:szCs w:val="18"/>
              </w:rPr>
            </w:pPr>
          </w:p>
        </w:tc>
        <w:tc>
          <w:tcPr>
            <w:tcW w:w="4812" w:type="dxa"/>
            <w:vAlign w:val="center"/>
          </w:tcPr>
          <w:p>
            <w:pPr>
              <w:widowControl/>
              <w:snapToGrid w:val="0"/>
              <w:spacing w:line="240" w:lineRule="exact"/>
              <w:textAlignment w:val="baseline"/>
              <w:rPr>
                <w:rFonts w:eastAsia="宋体"/>
                <w:sz w:val="18"/>
                <w:szCs w:val="18"/>
              </w:rPr>
            </w:pPr>
            <w:r>
              <w:rPr>
                <w:rFonts w:hint="default" w:eastAsia="宋体"/>
                <w:sz w:val="18"/>
                <w:szCs w:val="18"/>
              </w:rPr>
              <w:t>近三年</w:t>
            </w:r>
            <w:r>
              <w:rPr>
                <w:rFonts w:eastAsia="宋体"/>
                <w:sz w:val="18"/>
                <w:szCs w:val="18"/>
              </w:rPr>
              <w:t>举办或承办</w:t>
            </w:r>
            <w:r>
              <w:rPr>
                <w:rFonts w:hint="default" w:eastAsia="宋体"/>
                <w:sz w:val="18"/>
                <w:szCs w:val="18"/>
              </w:rPr>
              <w:t>省内外</w:t>
            </w:r>
            <w:r>
              <w:rPr>
                <w:rFonts w:eastAsia="宋体"/>
                <w:sz w:val="18"/>
                <w:szCs w:val="18"/>
              </w:rPr>
              <w:t>技工院校师资培训</w:t>
            </w:r>
            <w:r>
              <w:rPr>
                <w:rFonts w:hint="default" w:eastAsia="宋体"/>
                <w:sz w:val="18"/>
                <w:szCs w:val="18"/>
              </w:rPr>
              <w:t>累计</w:t>
            </w:r>
            <w:r>
              <w:rPr>
                <w:rFonts w:eastAsia="宋体"/>
                <w:sz w:val="18"/>
                <w:szCs w:val="18"/>
              </w:rPr>
              <w:t>达200人次</w:t>
            </w:r>
            <w:r>
              <w:rPr>
                <w:rFonts w:hint="default" w:eastAsia="宋体"/>
                <w:sz w:val="18"/>
                <w:szCs w:val="18"/>
              </w:rPr>
              <w:t>。</w:t>
            </w:r>
          </w:p>
        </w:tc>
        <w:tc>
          <w:tcPr>
            <w:tcW w:w="721"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807"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3-2</w:t>
            </w:r>
            <w:r>
              <w:rPr>
                <w:rFonts w:eastAsia="宋体"/>
                <w:b w:val="0"/>
                <w:bCs/>
                <w:sz w:val="18"/>
                <w:szCs w:val="18"/>
              </w:rPr>
              <w:t>职业培训</w:t>
            </w:r>
          </w:p>
        </w:tc>
        <w:tc>
          <w:tcPr>
            <w:tcW w:w="4812" w:type="dxa"/>
            <w:vAlign w:val="center"/>
          </w:tcPr>
          <w:p>
            <w:pPr>
              <w:widowControl/>
              <w:snapToGrid w:val="0"/>
              <w:spacing w:line="240" w:lineRule="exact"/>
              <w:textAlignment w:val="baseline"/>
              <w:rPr>
                <w:rFonts w:hint="default" w:eastAsia="宋体"/>
                <w:sz w:val="18"/>
                <w:szCs w:val="18"/>
              </w:rPr>
            </w:pPr>
            <w:r>
              <w:rPr>
                <w:rFonts w:eastAsia="宋体"/>
                <w:sz w:val="18"/>
                <w:szCs w:val="18"/>
              </w:rPr>
              <w:t>注重发挥学校资源优势，面向社会、行业企业积极开展各类培训活动</w:t>
            </w:r>
            <w:r>
              <w:rPr>
                <w:rFonts w:hint="default" w:eastAsia="宋体"/>
                <w:sz w:val="18"/>
                <w:szCs w:val="18"/>
              </w:rPr>
              <w:t>，每年</w:t>
            </w:r>
            <w:r>
              <w:rPr>
                <w:rFonts w:eastAsia="宋体"/>
                <w:sz w:val="18"/>
                <w:szCs w:val="18"/>
              </w:rPr>
              <w:t>达2000人次</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3-3</w:t>
            </w:r>
            <w:r>
              <w:rPr>
                <w:rFonts w:eastAsia="宋体"/>
                <w:b w:val="0"/>
                <w:bCs/>
                <w:sz w:val="18"/>
                <w:szCs w:val="18"/>
              </w:rPr>
              <w:t>技师研修</w:t>
            </w:r>
          </w:p>
        </w:tc>
        <w:tc>
          <w:tcPr>
            <w:tcW w:w="4812" w:type="dxa"/>
            <w:vAlign w:val="center"/>
          </w:tcPr>
          <w:p>
            <w:pPr>
              <w:widowControl/>
              <w:snapToGrid w:val="0"/>
              <w:spacing w:line="240" w:lineRule="exact"/>
              <w:textAlignment w:val="baseline"/>
              <w:rPr>
                <w:rFonts w:hint="default" w:eastAsia="宋体"/>
                <w:sz w:val="18"/>
                <w:szCs w:val="18"/>
              </w:rPr>
            </w:pPr>
            <w:r>
              <w:rPr>
                <w:rFonts w:eastAsia="宋体"/>
                <w:sz w:val="18"/>
                <w:szCs w:val="18"/>
              </w:rPr>
              <w:t>举办或承办</w:t>
            </w:r>
            <w:r>
              <w:rPr>
                <w:rFonts w:hint="default" w:eastAsia="宋体"/>
                <w:sz w:val="18"/>
                <w:szCs w:val="18"/>
              </w:rPr>
              <w:t>过企业技师、</w:t>
            </w:r>
            <w:r>
              <w:rPr>
                <w:rFonts w:eastAsia="宋体"/>
                <w:sz w:val="18"/>
                <w:szCs w:val="18"/>
              </w:rPr>
              <w:t>高级技师研修活动</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四、</w:t>
            </w:r>
            <w:r>
              <w:rPr>
                <w:rFonts w:eastAsia="宋体"/>
                <w:b w:val="0"/>
                <w:bCs/>
                <w:sz w:val="18"/>
                <w:szCs w:val="18"/>
              </w:rPr>
              <w:t>技能竞赛</w:t>
            </w:r>
          </w:p>
        </w:tc>
        <w:tc>
          <w:tcPr>
            <w:tcW w:w="1208"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4-1竞赛体系</w:t>
            </w:r>
          </w:p>
        </w:tc>
        <w:tc>
          <w:tcPr>
            <w:tcW w:w="4812" w:type="dxa"/>
            <w:vAlign w:val="center"/>
          </w:tcPr>
          <w:p>
            <w:pPr>
              <w:widowControl/>
              <w:snapToGrid w:val="0"/>
              <w:spacing w:line="240" w:lineRule="exact"/>
              <w:textAlignment w:val="baseline"/>
              <w:rPr>
                <w:rFonts w:eastAsia="宋体"/>
                <w:sz w:val="18"/>
                <w:szCs w:val="18"/>
                <w:highlight w:val="yellow"/>
              </w:rPr>
            </w:pPr>
            <w:r>
              <w:rPr>
                <w:rFonts w:hint="default" w:eastAsia="宋体"/>
                <w:sz w:val="18"/>
                <w:szCs w:val="18"/>
              </w:rPr>
              <w:t>竞赛工作体系健全，面向学生、企业职工等群体广泛开展各级各类竞赛活动。</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716"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4-2</w:t>
            </w:r>
            <w:r>
              <w:rPr>
                <w:rFonts w:eastAsia="宋体"/>
                <w:b w:val="0"/>
                <w:bCs/>
                <w:sz w:val="18"/>
                <w:szCs w:val="18"/>
              </w:rPr>
              <w:t>重要赛事</w:t>
            </w:r>
          </w:p>
        </w:tc>
        <w:tc>
          <w:tcPr>
            <w:tcW w:w="4812" w:type="dxa"/>
            <w:vAlign w:val="center"/>
          </w:tcPr>
          <w:p>
            <w:pPr>
              <w:widowControl/>
              <w:snapToGrid w:val="0"/>
              <w:spacing w:line="240" w:lineRule="exact"/>
              <w:textAlignment w:val="baseline"/>
              <w:rPr>
                <w:rFonts w:hint="default" w:eastAsia="宋体"/>
                <w:sz w:val="18"/>
                <w:szCs w:val="18"/>
              </w:rPr>
            </w:pPr>
            <w:r>
              <w:rPr>
                <w:rFonts w:eastAsia="宋体"/>
                <w:sz w:val="18"/>
                <w:szCs w:val="18"/>
              </w:rPr>
              <w:t>积极参加世赛、国赛、江苏技能状元大赛等国内外重要技能赛事</w:t>
            </w:r>
            <w:r>
              <w:rPr>
                <w:rFonts w:hint="default" w:eastAsia="宋体"/>
                <w:sz w:val="18"/>
                <w:szCs w:val="18"/>
              </w:rPr>
              <w:t>备战备训工作。</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4-3竞赛</w:t>
            </w:r>
            <w:r>
              <w:rPr>
                <w:rFonts w:eastAsia="宋体"/>
                <w:b w:val="0"/>
                <w:bCs/>
                <w:sz w:val="18"/>
                <w:szCs w:val="18"/>
              </w:rPr>
              <w:t>基地</w:t>
            </w:r>
          </w:p>
        </w:tc>
        <w:tc>
          <w:tcPr>
            <w:tcW w:w="4812" w:type="dxa"/>
            <w:vAlign w:val="center"/>
          </w:tcPr>
          <w:p>
            <w:pPr>
              <w:widowControl/>
              <w:snapToGrid w:val="0"/>
              <w:spacing w:line="240" w:lineRule="exact"/>
              <w:textAlignment w:val="baseline"/>
              <w:rPr>
                <w:rFonts w:hint="default" w:eastAsia="宋体"/>
                <w:sz w:val="18"/>
                <w:szCs w:val="18"/>
              </w:rPr>
            </w:pPr>
            <w:r>
              <w:rPr>
                <w:rFonts w:eastAsia="宋体"/>
                <w:sz w:val="18"/>
                <w:szCs w:val="18"/>
              </w:rPr>
              <w:t>积极承担世赛、国赛</w:t>
            </w:r>
            <w:r>
              <w:rPr>
                <w:rFonts w:hint="default" w:eastAsia="宋体"/>
                <w:sz w:val="18"/>
                <w:szCs w:val="18"/>
              </w:rPr>
              <w:t>研究及成果转化</w:t>
            </w:r>
            <w:r>
              <w:rPr>
                <w:rFonts w:eastAsia="宋体"/>
                <w:sz w:val="18"/>
                <w:szCs w:val="18"/>
              </w:rPr>
              <w:t>任务</w:t>
            </w:r>
            <w:r>
              <w:rPr>
                <w:rFonts w:hint="default" w:eastAsia="宋体"/>
                <w:sz w:val="18"/>
                <w:szCs w:val="18"/>
              </w:rPr>
              <w:t>，</w:t>
            </w:r>
            <w:r>
              <w:rPr>
                <w:rFonts w:eastAsia="宋体"/>
                <w:sz w:val="18"/>
                <w:szCs w:val="18"/>
              </w:rPr>
              <w:t>建成世赛</w:t>
            </w:r>
            <w:r>
              <w:rPr>
                <w:rFonts w:hint="default" w:eastAsia="宋体"/>
                <w:sz w:val="18"/>
                <w:szCs w:val="18"/>
              </w:rPr>
              <w:t>、国赛</w:t>
            </w:r>
            <w:r>
              <w:rPr>
                <w:rFonts w:eastAsia="宋体"/>
                <w:sz w:val="18"/>
                <w:szCs w:val="18"/>
              </w:rPr>
              <w:t>省级</w:t>
            </w:r>
            <w:r>
              <w:rPr>
                <w:rFonts w:hint="default" w:eastAsia="宋体"/>
                <w:sz w:val="18"/>
                <w:szCs w:val="18"/>
              </w:rPr>
              <w:t>以上</w:t>
            </w:r>
            <w:r>
              <w:rPr>
                <w:rFonts w:eastAsia="宋体"/>
                <w:sz w:val="18"/>
                <w:szCs w:val="18"/>
              </w:rPr>
              <w:t>集训基地</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五、</w:t>
            </w:r>
            <w:r>
              <w:rPr>
                <w:rFonts w:eastAsia="宋体"/>
                <w:b w:val="0"/>
                <w:bCs/>
                <w:sz w:val="18"/>
                <w:szCs w:val="18"/>
              </w:rPr>
              <w:t>建设方案</w:t>
            </w: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5-1</w:t>
            </w:r>
            <w:r>
              <w:rPr>
                <w:rFonts w:eastAsia="宋体"/>
                <w:b w:val="0"/>
                <w:bCs/>
                <w:sz w:val="18"/>
                <w:szCs w:val="18"/>
              </w:rPr>
              <w:t>可行性</w:t>
            </w:r>
          </w:p>
        </w:tc>
        <w:tc>
          <w:tcPr>
            <w:tcW w:w="4812" w:type="dxa"/>
            <w:vAlign w:val="center"/>
          </w:tcPr>
          <w:p>
            <w:pPr>
              <w:widowControl/>
              <w:snapToGrid w:val="0"/>
              <w:spacing w:line="240" w:lineRule="exact"/>
              <w:textAlignment w:val="baseline"/>
              <w:rPr>
                <w:rFonts w:hint="default" w:eastAsia="宋体"/>
                <w:sz w:val="18"/>
                <w:szCs w:val="18"/>
              </w:rPr>
            </w:pPr>
            <w:r>
              <w:rPr>
                <w:rFonts w:eastAsia="宋体"/>
                <w:sz w:val="18"/>
                <w:szCs w:val="18"/>
              </w:rPr>
              <w:t>建设目标思路清晰，</w:t>
            </w:r>
            <w:r>
              <w:rPr>
                <w:rFonts w:hint="default" w:eastAsia="宋体"/>
                <w:sz w:val="18"/>
                <w:szCs w:val="18"/>
              </w:rPr>
              <w:t>任务具体，进度明确，</w:t>
            </w:r>
            <w:r>
              <w:rPr>
                <w:rFonts w:eastAsia="宋体"/>
                <w:sz w:val="18"/>
                <w:szCs w:val="18"/>
              </w:rPr>
              <w:t>方案具有可行性</w:t>
            </w:r>
            <w:r>
              <w:rPr>
                <w:rFonts w:hint="default" w:eastAsia="宋体"/>
                <w:sz w:val="18"/>
                <w:szCs w:val="18"/>
              </w:rPr>
              <w:t>。</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eastAsia="宋体"/>
                <w:b w:val="0"/>
                <w:bCs/>
                <w:sz w:val="18"/>
                <w:szCs w:val="18"/>
              </w:rPr>
            </w:pPr>
          </w:p>
        </w:tc>
        <w:tc>
          <w:tcPr>
            <w:tcW w:w="1208" w:type="dxa"/>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5-2</w:t>
            </w:r>
            <w:r>
              <w:rPr>
                <w:rFonts w:eastAsia="宋体"/>
                <w:b w:val="0"/>
                <w:bCs/>
                <w:sz w:val="18"/>
                <w:szCs w:val="18"/>
              </w:rPr>
              <w:t>创新性</w:t>
            </w:r>
          </w:p>
        </w:tc>
        <w:tc>
          <w:tcPr>
            <w:tcW w:w="4812" w:type="dxa"/>
            <w:vAlign w:val="center"/>
          </w:tcPr>
          <w:p>
            <w:pPr>
              <w:widowControl/>
              <w:snapToGrid w:val="0"/>
              <w:spacing w:line="240" w:lineRule="exact"/>
              <w:textAlignment w:val="baseline"/>
              <w:rPr>
                <w:rFonts w:hint="default" w:eastAsia="宋体"/>
                <w:sz w:val="18"/>
                <w:szCs w:val="18"/>
              </w:rPr>
            </w:pPr>
            <w:r>
              <w:rPr>
                <w:rFonts w:hint="default" w:eastAsia="宋体"/>
                <w:sz w:val="18"/>
                <w:szCs w:val="18"/>
              </w:rPr>
              <w:t>特色鲜明，培训理念、培训内容先进，具有创新性。</w:t>
            </w:r>
          </w:p>
        </w:tc>
        <w:tc>
          <w:tcPr>
            <w:tcW w:w="721"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1729" w:hRule="atLeast"/>
          <w:jc w:val="center"/>
        </w:trPr>
        <w:tc>
          <w:tcPr>
            <w:tcW w:w="1348" w:type="dxa"/>
            <w:vMerge w:val="restart"/>
            <w:vAlign w:val="center"/>
          </w:tcPr>
          <w:p>
            <w:pPr>
              <w:widowControl/>
              <w:spacing w:line="240" w:lineRule="exact"/>
              <w:jc w:val="center"/>
              <w:textAlignment w:val="baseline"/>
              <w:rPr>
                <w:rFonts w:eastAsia="宋体"/>
                <w:b w:val="0"/>
                <w:bCs/>
                <w:sz w:val="18"/>
                <w:szCs w:val="18"/>
              </w:rPr>
            </w:pPr>
            <w:r>
              <w:rPr>
                <w:rFonts w:hint="default" w:eastAsia="宋体"/>
                <w:b w:val="0"/>
                <w:bCs/>
                <w:sz w:val="18"/>
                <w:szCs w:val="18"/>
              </w:rPr>
              <w:t>加分项</w:t>
            </w:r>
          </w:p>
        </w:tc>
        <w:tc>
          <w:tcPr>
            <w:tcW w:w="1208"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竞赛成绩</w:t>
            </w: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受训教师在世界技能大赛获得第一名每个10分，第二名每个8分，第三名每个7分，优胜奖每个6分；全国职业技能大赛第一名每个6分，第二名每个5分，第三名每个4分；全国行业职业技能竞赛一类赛第一名每个4分，第二名每个3分，第三名每个2分；江苏技能状元大赛第一名每个5分，第二名每个4分，第三名每个3分；省级一类职业技能竞赛第一名每个2分，第二名每个1分，第三名每个0.5分。</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691" w:hRule="atLeast"/>
          <w:jc w:val="center"/>
        </w:trPr>
        <w:tc>
          <w:tcPr>
            <w:tcW w:w="1348" w:type="dxa"/>
            <w:vMerge w:val="continue"/>
            <w:vAlign w:val="center"/>
          </w:tcPr>
          <w:p>
            <w:pPr>
              <w:widowControl/>
              <w:spacing w:line="240" w:lineRule="exact"/>
              <w:jc w:val="center"/>
              <w:textAlignment w:val="baseline"/>
              <w:rPr>
                <w:rFonts w:hint="default" w:eastAsia="宋体"/>
                <w:b w:val="0"/>
                <w:bCs/>
                <w:sz w:val="18"/>
                <w:szCs w:val="18"/>
              </w:rPr>
            </w:pPr>
          </w:p>
        </w:tc>
        <w:tc>
          <w:tcPr>
            <w:tcW w:w="1208" w:type="dxa"/>
            <w:vMerge w:val="continue"/>
            <w:vAlign w:val="center"/>
          </w:tcPr>
          <w:p>
            <w:pPr>
              <w:widowControl/>
              <w:spacing w:line="240" w:lineRule="exact"/>
              <w:jc w:val="center"/>
              <w:textAlignment w:val="baseline"/>
              <w:rPr>
                <w:rFonts w:hint="default" w:eastAsia="宋体"/>
                <w:b w:val="0"/>
                <w:bCs/>
                <w:sz w:val="18"/>
                <w:szCs w:val="18"/>
              </w:rPr>
            </w:pP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近三年受训教师获得全国技工院校教师职业能力大赛一等奖每个4分，二等奖每个2分，三等奖每个1分。</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567" w:hRule="atLeast"/>
          <w:jc w:val="center"/>
        </w:trPr>
        <w:tc>
          <w:tcPr>
            <w:tcW w:w="1348" w:type="dxa"/>
            <w:vMerge w:val="continue"/>
            <w:vAlign w:val="center"/>
          </w:tcPr>
          <w:p>
            <w:pPr>
              <w:widowControl/>
              <w:spacing w:line="240" w:lineRule="exact"/>
              <w:jc w:val="center"/>
              <w:textAlignment w:val="baseline"/>
              <w:rPr>
                <w:rFonts w:hint="default" w:eastAsia="宋体"/>
                <w:b w:val="0"/>
                <w:bCs/>
                <w:sz w:val="18"/>
                <w:szCs w:val="18"/>
              </w:rPr>
            </w:pPr>
          </w:p>
        </w:tc>
        <w:tc>
          <w:tcPr>
            <w:tcW w:w="1208"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重点任务</w:t>
            </w: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近三年举办获承办省级以上高级技师研修活动、教师研修活动等每次加2分。</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837" w:hRule="atLeast"/>
          <w:jc w:val="center"/>
        </w:trPr>
        <w:tc>
          <w:tcPr>
            <w:tcW w:w="1348" w:type="dxa"/>
            <w:vMerge w:val="continue"/>
            <w:vAlign w:val="center"/>
          </w:tcPr>
          <w:p>
            <w:pPr>
              <w:widowControl/>
              <w:spacing w:line="240" w:lineRule="exact"/>
              <w:jc w:val="center"/>
              <w:textAlignment w:val="baseline"/>
              <w:rPr>
                <w:rFonts w:hint="default" w:eastAsia="宋体"/>
                <w:b w:val="0"/>
                <w:bCs/>
                <w:sz w:val="18"/>
                <w:szCs w:val="18"/>
              </w:rPr>
            </w:pPr>
          </w:p>
        </w:tc>
        <w:tc>
          <w:tcPr>
            <w:tcW w:w="1208" w:type="dxa"/>
            <w:vMerge w:val="continue"/>
            <w:vAlign w:val="center"/>
          </w:tcPr>
          <w:p>
            <w:pPr>
              <w:widowControl/>
              <w:spacing w:line="240" w:lineRule="exact"/>
              <w:jc w:val="center"/>
              <w:textAlignment w:val="baseline"/>
              <w:rPr>
                <w:rFonts w:hint="default" w:eastAsia="宋体"/>
                <w:b w:val="0"/>
                <w:bCs/>
                <w:sz w:val="18"/>
                <w:szCs w:val="18"/>
              </w:rPr>
            </w:pP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近三年牵头开发重点行业、新职业、新工种技能人才评价技术资源每项1分；参与开发每项0.5分。</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1415" w:hRule="atLeast"/>
          <w:jc w:val="center"/>
        </w:trPr>
        <w:tc>
          <w:tcPr>
            <w:tcW w:w="1348" w:type="dxa"/>
            <w:vMerge w:val="continue"/>
            <w:vAlign w:val="center"/>
          </w:tcPr>
          <w:p>
            <w:pPr>
              <w:widowControl/>
              <w:spacing w:line="240" w:lineRule="exact"/>
              <w:jc w:val="center"/>
              <w:textAlignment w:val="baseline"/>
              <w:rPr>
                <w:rFonts w:hint="default" w:eastAsia="宋体"/>
                <w:b w:val="0"/>
                <w:bCs/>
                <w:sz w:val="18"/>
                <w:szCs w:val="18"/>
              </w:rPr>
            </w:pPr>
          </w:p>
        </w:tc>
        <w:tc>
          <w:tcPr>
            <w:tcW w:w="1208"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表彰奖励</w:t>
            </w: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受训教师获得中华技能大奖每个10分，全国技术能手、国务院政府特殊津贴、国家级技能大师工作室领办人每个8分；江苏大工匠每个8分，江苏工匠、江苏省有突出贡献中青年专家、省“333”工程培养对象、省级技能大师工作室领办人每个5分。竞赛获奖不重复计算。</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858" w:hRule="atLeast"/>
          <w:jc w:val="center"/>
        </w:trPr>
        <w:tc>
          <w:tcPr>
            <w:tcW w:w="2556" w:type="dxa"/>
            <w:gridSpan w:val="2"/>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减分项</w:t>
            </w: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近三年未认真完成省厅下达的培训、评价、竞赛等工作目标任务的每项扣3分；被有关媒体曝光的每次扣3分；信访举报较多，产生不良影响的扣5分。</w:t>
            </w:r>
          </w:p>
        </w:tc>
        <w:tc>
          <w:tcPr>
            <w:tcW w:w="714" w:type="dxa"/>
            <w:vAlign w:val="top"/>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Ex>
        <w:trPr>
          <w:trHeight w:val="1550" w:hRule="atLeast"/>
          <w:jc w:val="center"/>
        </w:trPr>
        <w:tc>
          <w:tcPr>
            <w:tcW w:w="2556" w:type="dxa"/>
            <w:gridSpan w:val="2"/>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一票否决项</w:t>
            </w:r>
          </w:p>
        </w:tc>
        <w:tc>
          <w:tcPr>
            <w:tcW w:w="5533" w:type="dxa"/>
            <w:gridSpan w:val="2"/>
            <w:vAlign w:val="center"/>
          </w:tcPr>
          <w:p>
            <w:pPr>
              <w:widowControl/>
              <w:spacing w:line="240" w:lineRule="exact"/>
              <w:jc w:val="both"/>
              <w:textAlignment w:val="baseline"/>
              <w:rPr>
                <w:rFonts w:hint="default" w:eastAsia="宋体"/>
                <w:sz w:val="18"/>
                <w:szCs w:val="18"/>
              </w:rPr>
            </w:pPr>
            <w:r>
              <w:rPr>
                <w:rFonts w:hint="default" w:eastAsia="宋体"/>
                <w:sz w:val="18"/>
                <w:szCs w:val="18"/>
              </w:rPr>
              <w:t>近三年有以下情况的一票否决：学校受到县级以上人社部门通报批评；年度评估不合格；校舍、消防、教学、实习、食品安全和学校治安、卫生防疫等措施不力，存在严重安全隐患或发生重大安全事故、治安事件、群体性事件；其他严重违反技工院校办学规定，造成恶劣社会影响的情况。</w:t>
            </w:r>
          </w:p>
        </w:tc>
        <w:tc>
          <w:tcPr>
            <w:tcW w:w="714" w:type="dxa"/>
            <w:vAlign w:val="top"/>
          </w:tcPr>
          <w:p>
            <w:pPr>
              <w:widowControl/>
              <w:spacing w:line="240" w:lineRule="exact"/>
              <w:jc w:val="center"/>
              <w:textAlignment w:val="baseline"/>
              <w:rPr>
                <w:rFonts w:eastAsia="宋体"/>
                <w:sz w:val="18"/>
                <w:szCs w:val="18"/>
              </w:rPr>
            </w:pPr>
          </w:p>
        </w:tc>
      </w:tr>
    </w:tbl>
    <w:p>
      <w:pPr>
        <w:widowControl/>
        <w:spacing w:line="590" w:lineRule="exact"/>
        <w:jc w:val="left"/>
        <w:rPr>
          <w:rFonts w:hint="default" w:eastAsia="方正黑体_GBK"/>
          <w:szCs w:val="48"/>
        </w:rPr>
      </w:pPr>
    </w:p>
    <w:p>
      <w:pPr>
        <w:widowControl/>
        <w:spacing w:line="590" w:lineRule="exact"/>
        <w:jc w:val="left"/>
        <w:rPr>
          <w:rFonts w:hint="default" w:eastAsia="方正黑体_GBK"/>
          <w:szCs w:val="48"/>
        </w:rPr>
      </w:pPr>
    </w:p>
    <w:p>
      <w:pPr>
        <w:widowControl/>
        <w:spacing w:line="590" w:lineRule="exact"/>
        <w:jc w:val="left"/>
        <w:rPr>
          <w:rFonts w:hint="default" w:eastAsia="方正黑体_GBK"/>
          <w:szCs w:val="48"/>
        </w:rPr>
      </w:pPr>
    </w:p>
    <w:p>
      <w:pPr>
        <w:widowControl/>
        <w:spacing w:line="590" w:lineRule="exact"/>
        <w:jc w:val="left"/>
        <w:rPr>
          <w:rFonts w:hint="default" w:eastAsia="方正黑体_GBK"/>
          <w:szCs w:val="48"/>
        </w:rPr>
      </w:pPr>
    </w:p>
    <w:p>
      <w:pPr>
        <w:widowControl/>
        <w:spacing w:line="590" w:lineRule="exact"/>
        <w:jc w:val="left"/>
        <w:rPr>
          <w:rFonts w:hint="eastAsia" w:eastAsia="方正黑体_GBK"/>
          <w:szCs w:val="48"/>
        </w:rPr>
      </w:pPr>
    </w:p>
    <w:p>
      <w:pPr>
        <w:widowControl/>
        <w:spacing w:line="590" w:lineRule="exact"/>
        <w:jc w:val="left"/>
        <w:rPr>
          <w:rFonts w:hint="eastAsia" w:eastAsia="方正黑体_GBK"/>
          <w:szCs w:val="48"/>
        </w:rPr>
      </w:pPr>
    </w:p>
    <w:p>
      <w:pPr>
        <w:widowControl/>
        <w:spacing w:line="590" w:lineRule="exact"/>
        <w:jc w:val="left"/>
        <w:rPr>
          <w:rFonts w:hint="default" w:eastAsia="方正黑体_GBK"/>
          <w:szCs w:val="4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eastAsia="宋体"/>
        <w:sz w:val="28"/>
        <w:szCs w:val="28"/>
      </w:rPr>
      <w:fldChar w:fldCharType="begin"/>
    </w:r>
    <w:r>
      <w:rPr>
        <w:rStyle w:val="5"/>
        <w:rFonts w:eastAsia="宋体"/>
        <w:sz w:val="28"/>
        <w:szCs w:val="28"/>
      </w:rPr>
      <w:instrText xml:space="preserve">PAGE  </w:instrText>
    </w:r>
    <w:r>
      <w:rPr>
        <w:rStyle w:val="5"/>
        <w:rFonts w:eastAsia="宋体"/>
        <w:sz w:val="28"/>
        <w:szCs w:val="28"/>
      </w:rPr>
      <w:fldChar w:fldCharType="separate"/>
    </w:r>
    <w:r>
      <w:rPr>
        <w:rStyle w:val="5"/>
        <w:rFonts w:eastAsia="宋体"/>
        <w:sz w:val="28"/>
        <w:szCs w:val="28"/>
      </w:rPr>
      <w:t>1</w:t>
    </w:r>
    <w:r>
      <w:rPr>
        <w:rStyle w:val="5"/>
        <w:rFonts w:eastAsia="宋体"/>
        <w:sz w:val="28"/>
        <w:szCs w:val="28"/>
      </w:rPr>
      <w:fldChar w:fldCharType="end"/>
    </w:r>
    <w:r>
      <w:rPr>
        <w:rStyle w:val="5"/>
        <w:rFonts w:hint="default" w:eastAsia="宋体"/>
        <w:sz w:val="28"/>
        <w:szCs w:val="28"/>
      </w:rPr>
      <w:t xml:space="preserve"> </w:t>
    </w:r>
    <w:r>
      <w:rPr>
        <w:rStyle w:val="5"/>
        <w:rFonts w:hint="eastAsia" w:ascii="宋体" w:hAnsi="宋体" w:eastAsia="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B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2021-07-23T03:04:38Z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