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50" w:lineRule="exact"/>
        <w:textAlignment w:val="baseline"/>
        <w:rPr>
          <w:rFonts w:hint="default" w:eastAsia="方正黑体_GBK"/>
          <w:szCs w:val="32"/>
        </w:rPr>
      </w:pPr>
      <w:r>
        <w:rPr>
          <w:rFonts w:hint="default" w:ascii="Times New Roman" w:eastAsia="方正黑体_GBK"/>
          <w:color w:val="000000"/>
          <w:szCs w:val="48"/>
        </w:rPr>
        <w:t>附件</w:t>
      </w:r>
      <w:r>
        <w:rPr>
          <w:rFonts w:hint="default" w:ascii="Times New Roman" w:eastAsia="方正黑体_GBK"/>
          <w:szCs w:val="32"/>
        </w:rPr>
        <w:t>1</w:t>
      </w:r>
    </w:p>
    <w:p>
      <w:pPr>
        <w:widowControl w:val="0"/>
        <w:spacing w:line="550" w:lineRule="exact"/>
        <w:ind w:firstLine="640" w:firstLineChars="200"/>
        <w:textAlignment w:val="baseline"/>
        <w:rPr>
          <w:rFonts w:hint="default" w:ascii="Times New Roman" w:eastAsia="方正黑体_GBK"/>
          <w:szCs w:val="32"/>
        </w:rPr>
      </w:pPr>
    </w:p>
    <w:p>
      <w:pPr>
        <w:widowControl w:val="0"/>
        <w:spacing w:line="550" w:lineRule="exact"/>
        <w:jc w:val="center"/>
        <w:textAlignment w:val="baseline"/>
        <w:rPr>
          <w:rFonts w:ascii="Times New Roman" w:hAnsi="Times New Roman" w:eastAsia="方正小标宋简体"/>
          <w:color w:val="000000"/>
          <w:sz w:val="44"/>
          <w:szCs w:val="44"/>
        </w:rPr>
      </w:pPr>
      <w:r>
        <w:rPr>
          <w:rFonts w:eastAsia="方正小标宋_GBK"/>
          <w:color w:val="000000"/>
          <w:sz w:val="44"/>
          <w:szCs w:val="44"/>
        </w:rPr>
        <w:t>江苏省高水平技工院校</w:t>
      </w:r>
      <w:r>
        <w:rPr>
          <w:rFonts w:hint="default" w:eastAsia="方正小标宋_GBK"/>
          <w:color w:val="000000"/>
          <w:sz w:val="44"/>
          <w:szCs w:val="44"/>
        </w:rPr>
        <w:t>实施</w:t>
      </w:r>
      <w:r>
        <w:rPr>
          <w:rFonts w:eastAsia="方正小标宋_GBK"/>
          <w:color w:val="000000"/>
          <w:sz w:val="44"/>
          <w:szCs w:val="44"/>
        </w:rPr>
        <w:t>方案</w:t>
      </w:r>
    </w:p>
    <w:p>
      <w:pPr>
        <w:widowControl w:val="0"/>
        <w:spacing w:line="550" w:lineRule="exact"/>
        <w:ind w:firstLine="640" w:firstLineChars="200"/>
        <w:jc w:val="both"/>
        <w:textAlignment w:val="baseline"/>
        <w:rPr>
          <w:rFonts w:ascii="Times New Roman"/>
          <w:szCs w:val="32"/>
        </w:rPr>
      </w:pPr>
    </w:p>
    <w:p>
      <w:pPr>
        <w:widowControl w:val="0"/>
        <w:spacing w:line="550" w:lineRule="exact"/>
        <w:ind w:firstLine="640" w:firstLineChars="200"/>
        <w:textAlignment w:val="baseline"/>
        <w:rPr>
          <w:color w:val="000000"/>
          <w:spacing w:val="0"/>
          <w:szCs w:val="48"/>
        </w:rPr>
      </w:pPr>
      <w:r>
        <w:rPr>
          <w:rFonts w:hint="default"/>
          <w:color w:val="000000"/>
          <w:spacing w:val="0"/>
          <w:szCs w:val="48"/>
        </w:rPr>
        <w:t>为深入贯彻落实习近平总书记关于大力发展技工教育的重要指示精神，全面提升我省技工院校办学水平，更好落实立德树人根本任务，努力增强技工教育的适应性，根据技工院校提升行动部署安排，特制定本方案。</w:t>
      </w:r>
    </w:p>
    <w:p>
      <w:pPr>
        <w:widowControl w:val="0"/>
        <w:spacing w:line="550" w:lineRule="exact"/>
        <w:ind w:firstLine="640" w:firstLineChars="200"/>
        <w:textAlignment w:val="baseline"/>
        <w:rPr>
          <w:rFonts w:eastAsia="方正黑体_GBK"/>
          <w:kern w:val="0"/>
          <w:szCs w:val="32"/>
        </w:rPr>
      </w:pPr>
      <w:r>
        <w:rPr>
          <w:rFonts w:hint="default" w:eastAsia="方正黑体_GBK"/>
          <w:kern w:val="0"/>
          <w:szCs w:val="32"/>
        </w:rPr>
        <w:t>一、建设目标</w:t>
      </w:r>
    </w:p>
    <w:p>
      <w:pPr>
        <w:widowControl w:val="0"/>
        <w:spacing w:line="550" w:lineRule="exact"/>
        <w:ind w:firstLine="640" w:firstLineChars="200"/>
        <w:textAlignment w:val="baseline"/>
        <w:rPr>
          <w:rFonts w:ascii="Times New Roman"/>
          <w:color w:val="000000"/>
          <w:spacing w:val="0"/>
          <w:szCs w:val="48"/>
        </w:rPr>
      </w:pPr>
      <w:r>
        <w:rPr>
          <w:rFonts w:hint="default" w:ascii="Times New Roman"/>
          <w:color w:val="000000"/>
          <w:spacing w:val="0"/>
          <w:szCs w:val="48"/>
        </w:rPr>
        <w:t>健全完善现代技工教育体系，推动我省技工教育高质量发展，增加优质高端技工教育供给，“十四五”期间，每年在全省遴选建设</w:t>
      </w:r>
      <w:r>
        <w:rPr>
          <w:color w:val="000000"/>
          <w:spacing w:val="0"/>
          <w:szCs w:val="48"/>
        </w:rPr>
        <w:t>1</w:t>
      </w:r>
      <w:r>
        <w:rPr>
          <w:rFonts w:hint="default"/>
          <w:color w:val="000000"/>
          <w:spacing w:val="0"/>
          <w:szCs w:val="48"/>
        </w:rPr>
        <w:t>0</w:t>
      </w:r>
      <w:r>
        <w:rPr>
          <w:rFonts w:hint="default" w:ascii="Times New Roman"/>
          <w:color w:val="000000"/>
          <w:spacing w:val="0"/>
          <w:szCs w:val="48"/>
        </w:rPr>
        <w:t>所左右引领改革、支撑发展、独具特色、全国领先的高水平技工院校，带动提升全省技工院校整体办学水平。</w:t>
      </w:r>
    </w:p>
    <w:p>
      <w:pPr>
        <w:widowControl w:val="0"/>
        <w:spacing w:line="550" w:lineRule="exact"/>
        <w:ind w:firstLine="640" w:firstLineChars="200"/>
        <w:textAlignment w:val="baseline"/>
        <w:rPr>
          <w:rFonts w:eastAsia="方正黑体_GBK"/>
          <w:kern w:val="0"/>
          <w:szCs w:val="32"/>
        </w:rPr>
      </w:pPr>
      <w:r>
        <w:rPr>
          <w:rFonts w:eastAsia="方正黑体_GBK"/>
          <w:kern w:val="0"/>
          <w:szCs w:val="32"/>
        </w:rPr>
        <w:t>二、主要任务</w:t>
      </w:r>
    </w:p>
    <w:p>
      <w:pPr>
        <w:widowControl w:val="0"/>
        <w:spacing w:line="550" w:lineRule="exact"/>
        <w:ind w:firstLine="640" w:firstLineChars="200"/>
        <w:textAlignment w:val="baseline"/>
        <w:rPr>
          <w:rFonts w:ascii="Times New Roman"/>
          <w:color w:val="000000"/>
          <w:spacing w:val="0"/>
          <w:szCs w:val="48"/>
        </w:rPr>
      </w:pPr>
      <w:r>
        <w:rPr>
          <w:rFonts w:ascii="Times New Roman" w:eastAsia="方正楷体_GBK"/>
          <w:color w:val="000000"/>
          <w:spacing w:val="0"/>
          <w:szCs w:val="48"/>
        </w:rPr>
        <w:t>（一）全面落实立德树人根本任务。</w:t>
      </w:r>
      <w:r>
        <w:rPr>
          <w:rFonts w:ascii="Times New Roman"/>
          <w:color w:val="000000"/>
          <w:spacing w:val="0"/>
          <w:szCs w:val="48"/>
        </w:rPr>
        <w:t>全面推动习近平新时代中国特色社会主义思想进教材、进课堂、进头脑。推动理想信念教育常态化、制度化，引导学生树立正确的世界观、人生观、价值观。健全技工院校思想政治和德育课程体系，开齐开足开好思想政治课。</w:t>
      </w:r>
      <w:r>
        <w:rPr>
          <w:rFonts w:hint="default" w:ascii="Times New Roman"/>
          <w:color w:val="000000"/>
          <w:spacing w:val="0"/>
          <w:szCs w:val="48"/>
        </w:rPr>
        <w:t>设立</w:t>
      </w:r>
      <w:r>
        <w:rPr>
          <w:rFonts w:ascii="Times New Roman"/>
          <w:color w:val="000000"/>
          <w:spacing w:val="0"/>
          <w:szCs w:val="48"/>
        </w:rPr>
        <w:t>劳动教育必修</w:t>
      </w:r>
      <w:r>
        <w:rPr>
          <w:rFonts w:hint="default" w:ascii="Times New Roman"/>
          <w:color w:val="000000"/>
          <w:spacing w:val="0"/>
          <w:szCs w:val="48"/>
        </w:rPr>
        <w:t>课程</w:t>
      </w:r>
      <w:r>
        <w:rPr>
          <w:rFonts w:ascii="Times New Roman"/>
          <w:color w:val="000000"/>
          <w:spacing w:val="0"/>
          <w:szCs w:val="48"/>
        </w:rPr>
        <w:t>，加强学生劳动实践和实习实训，培育弘扬劳模精神、劳动精神和工匠精神。</w:t>
      </w:r>
    </w:p>
    <w:p>
      <w:pPr>
        <w:widowControl w:val="0"/>
        <w:spacing w:line="550" w:lineRule="exact"/>
        <w:ind w:firstLine="640" w:firstLineChars="200"/>
        <w:textAlignment w:val="baseline"/>
        <w:rPr>
          <w:rFonts w:ascii="Times New Roman"/>
          <w:color w:val="000000"/>
          <w:spacing w:val="0"/>
          <w:szCs w:val="48"/>
        </w:rPr>
      </w:pPr>
      <w:r>
        <w:rPr>
          <w:rFonts w:ascii="Times New Roman" w:eastAsia="方正楷体_GBK"/>
          <w:color w:val="000000"/>
          <w:spacing w:val="0"/>
          <w:szCs w:val="48"/>
        </w:rPr>
        <w:t>（二）开展高质量学制教育与职业培训。</w:t>
      </w:r>
      <w:r>
        <w:rPr>
          <w:rFonts w:ascii="Times New Roman"/>
          <w:color w:val="000000"/>
          <w:spacing w:val="0"/>
          <w:szCs w:val="48"/>
        </w:rPr>
        <w:t>坚持学制教育与职业培训并举、职业素养和职业技能并重，</w:t>
      </w:r>
      <w:r>
        <w:rPr>
          <w:rFonts w:hint="default" w:ascii="Times New Roman"/>
          <w:color w:val="000000"/>
          <w:spacing w:val="0"/>
          <w:szCs w:val="48"/>
        </w:rPr>
        <w:t>着眼培养</w:t>
      </w:r>
      <w:r>
        <w:rPr>
          <w:rFonts w:ascii="Times New Roman"/>
          <w:color w:val="000000"/>
          <w:spacing w:val="0"/>
          <w:szCs w:val="48"/>
        </w:rPr>
        <w:t>高技能人才</w:t>
      </w:r>
      <w:r>
        <w:rPr>
          <w:rFonts w:hint="default" w:ascii="Times New Roman"/>
          <w:color w:val="000000"/>
          <w:spacing w:val="0"/>
          <w:szCs w:val="48"/>
        </w:rPr>
        <w:t>，</w:t>
      </w:r>
      <w:r>
        <w:rPr>
          <w:rFonts w:ascii="Times New Roman"/>
          <w:color w:val="000000"/>
          <w:spacing w:val="0"/>
          <w:szCs w:val="48"/>
        </w:rPr>
        <w:t>着力扩大高级工以上学制教育规模</w:t>
      </w:r>
      <w:r>
        <w:rPr>
          <w:rFonts w:hint="default" w:ascii="Times New Roman"/>
          <w:color w:val="000000"/>
          <w:spacing w:val="0"/>
          <w:szCs w:val="48"/>
        </w:rPr>
        <w:t>，</w:t>
      </w:r>
      <w:r>
        <w:rPr>
          <w:rFonts w:ascii="Times New Roman"/>
          <w:color w:val="000000"/>
          <w:spacing w:val="0"/>
          <w:szCs w:val="48"/>
        </w:rPr>
        <w:t>积极参与职业技能提升行动，广泛开展职业技能培训。建立第三方评价制度，引入行业企业开展专业</w:t>
      </w:r>
      <w:r>
        <w:rPr>
          <w:rFonts w:hint="default" w:ascii="Times New Roman"/>
          <w:color w:val="000000"/>
          <w:spacing w:val="0"/>
          <w:szCs w:val="48"/>
        </w:rPr>
        <w:t>论证</w:t>
      </w:r>
      <w:r>
        <w:rPr>
          <w:rFonts w:ascii="Times New Roman"/>
          <w:color w:val="000000"/>
          <w:spacing w:val="0"/>
          <w:szCs w:val="48"/>
        </w:rPr>
        <w:t xml:space="preserve">和教学评估，完善技能人才培养质量保障体系。 </w:t>
      </w:r>
    </w:p>
    <w:p>
      <w:pPr>
        <w:widowControl w:val="0"/>
        <w:spacing w:line="550" w:lineRule="exact"/>
        <w:ind w:firstLine="640" w:firstLineChars="200"/>
        <w:textAlignment w:val="baseline"/>
        <w:rPr>
          <w:rFonts w:ascii="Times New Roman"/>
          <w:color w:val="000000"/>
          <w:spacing w:val="0"/>
          <w:szCs w:val="48"/>
        </w:rPr>
      </w:pPr>
      <w:r>
        <w:rPr>
          <w:rFonts w:ascii="Times New Roman" w:eastAsia="方正楷体_GBK"/>
          <w:color w:val="000000"/>
          <w:spacing w:val="0"/>
          <w:szCs w:val="48"/>
        </w:rPr>
        <w:t>（三）</w:t>
      </w:r>
      <w:r>
        <w:rPr>
          <w:rFonts w:hint="default" w:ascii="Times New Roman" w:eastAsia="方正楷体_GBK"/>
          <w:color w:val="000000"/>
          <w:spacing w:val="0"/>
          <w:szCs w:val="48"/>
        </w:rPr>
        <w:t>深化产教融合、校企合作</w:t>
      </w:r>
      <w:r>
        <w:rPr>
          <w:rFonts w:ascii="Times New Roman" w:eastAsia="方正楷体_GBK"/>
          <w:color w:val="000000"/>
          <w:spacing w:val="0"/>
          <w:szCs w:val="48"/>
        </w:rPr>
        <w:t>。</w:t>
      </w:r>
      <w:r>
        <w:rPr>
          <w:rFonts w:ascii="Times New Roman"/>
          <w:color w:val="000000"/>
          <w:spacing w:val="0"/>
          <w:szCs w:val="48"/>
        </w:rPr>
        <w:t>大力推行企业新型学徒制，及时将新技术、新工艺、新规范纳入教学标准。充分发挥优质办学资源作用，与企业、行业协会共建技工教育集团，</w:t>
      </w:r>
      <w:r>
        <w:rPr>
          <w:rFonts w:hint="default" w:ascii="Times New Roman"/>
          <w:color w:val="000000"/>
          <w:spacing w:val="0"/>
          <w:szCs w:val="48"/>
        </w:rPr>
        <w:t>探索建设产业学院，</w:t>
      </w:r>
      <w:r>
        <w:rPr>
          <w:rFonts w:ascii="Times New Roman"/>
          <w:color w:val="000000"/>
          <w:spacing w:val="0"/>
          <w:szCs w:val="48"/>
        </w:rPr>
        <w:t>激发</w:t>
      </w:r>
      <w:r>
        <w:rPr>
          <w:rFonts w:hint="default" w:ascii="Times New Roman"/>
          <w:color w:val="000000"/>
          <w:spacing w:val="0"/>
          <w:szCs w:val="48"/>
        </w:rPr>
        <w:t>校企</w:t>
      </w:r>
      <w:r>
        <w:rPr>
          <w:rFonts w:ascii="Times New Roman"/>
          <w:color w:val="000000"/>
          <w:spacing w:val="0"/>
          <w:szCs w:val="48"/>
        </w:rPr>
        <w:t>协同育人活力。探索多样化校企合作模式，深化合作</w:t>
      </w:r>
      <w:r>
        <w:rPr>
          <w:rFonts w:hint="default" w:ascii="Times New Roman"/>
          <w:color w:val="000000"/>
          <w:spacing w:val="0"/>
          <w:szCs w:val="48"/>
        </w:rPr>
        <w:t>内容，</w:t>
      </w:r>
      <w:r>
        <w:rPr>
          <w:rFonts w:ascii="Times New Roman"/>
          <w:color w:val="000000"/>
          <w:spacing w:val="0"/>
          <w:szCs w:val="48"/>
        </w:rPr>
        <w:t>丰富合作内涵，构建校企命运共同体。</w:t>
      </w:r>
    </w:p>
    <w:p>
      <w:pPr>
        <w:widowControl w:val="0"/>
        <w:spacing w:line="550" w:lineRule="exact"/>
        <w:ind w:firstLine="640" w:firstLineChars="200"/>
        <w:textAlignment w:val="baseline"/>
        <w:rPr>
          <w:rFonts w:ascii="Times New Roman"/>
          <w:color w:val="000000"/>
          <w:spacing w:val="0"/>
          <w:szCs w:val="48"/>
        </w:rPr>
      </w:pPr>
      <w:r>
        <w:rPr>
          <w:rFonts w:ascii="Times New Roman" w:eastAsia="方正楷体_GBK"/>
          <w:color w:val="000000"/>
          <w:spacing w:val="0"/>
          <w:szCs w:val="48"/>
        </w:rPr>
        <w:t>（四）</w:t>
      </w:r>
      <w:r>
        <w:rPr>
          <w:rFonts w:hint="default" w:ascii="Times New Roman" w:eastAsia="方正楷体_GBK"/>
          <w:color w:val="000000"/>
          <w:spacing w:val="0"/>
          <w:szCs w:val="48"/>
        </w:rPr>
        <w:t>加强</w:t>
      </w:r>
      <w:r>
        <w:rPr>
          <w:rFonts w:ascii="Times New Roman" w:eastAsia="方正楷体_GBK"/>
          <w:color w:val="000000"/>
          <w:spacing w:val="0"/>
          <w:szCs w:val="48"/>
        </w:rPr>
        <w:t>专业建设。</w:t>
      </w:r>
      <w:r>
        <w:rPr>
          <w:rFonts w:hint="default" w:ascii="Times New Roman"/>
          <w:color w:val="000000"/>
          <w:spacing w:val="0"/>
          <w:szCs w:val="48"/>
        </w:rPr>
        <w:t>围绕</w:t>
      </w:r>
      <w:r>
        <w:rPr>
          <w:rFonts w:ascii="Times New Roman"/>
          <w:color w:val="000000"/>
          <w:spacing w:val="0"/>
          <w:szCs w:val="48"/>
        </w:rPr>
        <w:t>制造强省建设</w:t>
      </w:r>
      <w:r>
        <w:rPr>
          <w:rFonts w:hint="default" w:ascii="Times New Roman"/>
          <w:color w:val="000000"/>
          <w:spacing w:val="0"/>
          <w:szCs w:val="48"/>
        </w:rPr>
        <w:t>需要</w:t>
      </w:r>
      <w:r>
        <w:rPr>
          <w:rFonts w:ascii="Times New Roman"/>
          <w:color w:val="000000"/>
          <w:spacing w:val="0"/>
          <w:szCs w:val="48"/>
        </w:rPr>
        <w:t>，积极优化专业结构</w:t>
      </w:r>
      <w:r>
        <w:rPr>
          <w:rFonts w:hint="default" w:ascii="Times New Roman"/>
          <w:color w:val="000000"/>
          <w:spacing w:val="0"/>
          <w:szCs w:val="48"/>
        </w:rPr>
        <w:t>。</w:t>
      </w:r>
      <w:r>
        <w:rPr>
          <w:rFonts w:ascii="Times New Roman"/>
          <w:color w:val="000000"/>
          <w:spacing w:val="0"/>
          <w:szCs w:val="48"/>
        </w:rPr>
        <w:t>集聚优质资源，打造特色明显、优势突出的品牌专</w:t>
      </w:r>
      <w:r>
        <w:rPr>
          <w:rFonts w:hint="default" w:ascii="Times New Roman"/>
          <w:color w:val="000000"/>
          <w:spacing w:val="0"/>
          <w:szCs w:val="48"/>
        </w:rPr>
        <w:t>业</w:t>
      </w:r>
      <w:r>
        <w:rPr>
          <w:rFonts w:ascii="Times New Roman"/>
          <w:color w:val="000000"/>
          <w:spacing w:val="0"/>
          <w:szCs w:val="48"/>
        </w:rPr>
        <w:t xml:space="preserve">（群）。深入推进一体化课程教学改革，构建一体化课程体系，建设专业教学资源库。加大新专业建设力度，实现产业、职业、专业协同共生，人才培养、技术创新良性互动。 </w:t>
      </w:r>
    </w:p>
    <w:p>
      <w:pPr>
        <w:widowControl w:val="0"/>
        <w:spacing w:line="550" w:lineRule="exact"/>
        <w:ind w:firstLine="640" w:firstLineChars="200"/>
        <w:textAlignment w:val="baseline"/>
        <w:rPr>
          <w:rFonts w:ascii="Times New Roman"/>
          <w:color w:val="000000"/>
          <w:spacing w:val="0"/>
          <w:szCs w:val="48"/>
        </w:rPr>
      </w:pPr>
      <w:r>
        <w:rPr>
          <w:rFonts w:hint="default" w:ascii="Times New Roman" w:eastAsia="方正楷体_GBK"/>
          <w:color w:val="000000"/>
          <w:spacing w:val="0"/>
          <w:szCs w:val="48"/>
        </w:rPr>
        <w:t>（五）打造高水平师资队伍。</w:t>
      </w:r>
      <w:r>
        <w:rPr>
          <w:rFonts w:hint="default" w:ascii="Times New Roman"/>
          <w:color w:val="000000"/>
          <w:spacing w:val="0"/>
          <w:szCs w:val="48"/>
        </w:rPr>
        <w:t>全面加强师德师风建设，着力提高教师队伍的思想政治素质。健全完善教师培养机制，着力打造技艺精湛、专兼结合的一体化教师队伍，不断提升教师专业素质能力，大力培育教学名师。积极引进具有创新实践经验的优秀企业家、高技能人才、乡土人才等兼职任教，推动校企协同育人。</w:t>
      </w:r>
    </w:p>
    <w:p>
      <w:pPr>
        <w:widowControl w:val="0"/>
        <w:adjustRightInd w:val="0"/>
        <w:snapToGrid w:val="0"/>
        <w:spacing w:line="550" w:lineRule="exact"/>
        <w:ind w:firstLine="640" w:firstLineChars="200"/>
        <w:textAlignment w:val="baseline"/>
        <w:rPr>
          <w:rFonts w:ascii="Times New Roman"/>
          <w:szCs w:val="32"/>
        </w:rPr>
      </w:pPr>
      <w:r>
        <w:rPr>
          <w:rFonts w:ascii="Times New Roman" w:eastAsia="方正楷体_GBK"/>
          <w:color w:val="000000"/>
          <w:spacing w:val="0"/>
          <w:szCs w:val="48"/>
        </w:rPr>
        <w:t>（六）加强</w:t>
      </w:r>
      <w:r>
        <w:rPr>
          <w:rFonts w:hint="default" w:ascii="Times New Roman" w:eastAsia="方正楷体_GBK"/>
          <w:color w:val="000000"/>
          <w:spacing w:val="0"/>
          <w:szCs w:val="48"/>
        </w:rPr>
        <w:t>职业技能竞赛</w:t>
      </w:r>
      <w:r>
        <w:rPr>
          <w:rFonts w:ascii="Times New Roman" w:eastAsia="方正楷体_GBK"/>
          <w:color w:val="000000"/>
          <w:spacing w:val="0"/>
          <w:szCs w:val="48"/>
        </w:rPr>
        <w:t>工作。</w:t>
      </w:r>
      <w:r>
        <w:rPr>
          <w:rFonts w:hint="default" w:ascii="Times New Roman"/>
          <w:szCs w:val="32"/>
        </w:rPr>
        <w:t>积极参加世界技能大赛、全国职业技能大赛、全国行业职业技能竞赛、江苏技能状元大赛等高水平赛事，创建国家级、省级竞赛集训基地，培养更多金牌选手、专家教练。积极承办省级以上职业技能竞赛。坚持“以赛促教”、“以赛促训”、“以赛促学”，推动竞赛成果转化，将先进竞赛标准和高超工艺转化为技工教育教学标准和规范。</w:t>
      </w:r>
    </w:p>
    <w:p>
      <w:pPr>
        <w:widowControl w:val="0"/>
        <w:adjustRightInd w:val="0"/>
        <w:snapToGrid w:val="0"/>
        <w:spacing w:line="550" w:lineRule="exact"/>
        <w:ind w:firstLine="640" w:firstLineChars="200"/>
        <w:textAlignment w:val="baseline"/>
        <w:rPr>
          <w:rFonts w:ascii="Times New Roman"/>
          <w:color w:val="000000"/>
          <w:spacing w:val="0"/>
          <w:szCs w:val="48"/>
        </w:rPr>
      </w:pPr>
      <w:r>
        <w:rPr>
          <w:rFonts w:hint="default" w:ascii="Times New Roman" w:eastAsia="方正楷体_GBK"/>
          <w:color w:val="000000"/>
          <w:spacing w:val="0"/>
          <w:szCs w:val="48"/>
        </w:rPr>
        <w:t>（</w:t>
      </w:r>
      <w:r>
        <w:rPr>
          <w:rFonts w:ascii="Times New Roman" w:eastAsia="方正楷体_GBK"/>
          <w:color w:val="000000"/>
          <w:spacing w:val="0"/>
          <w:szCs w:val="48"/>
        </w:rPr>
        <w:t>七）推进国际合作办学。</w:t>
      </w:r>
      <w:r>
        <w:rPr>
          <w:szCs w:val="32"/>
        </w:rPr>
        <w:t>适应</w:t>
      </w:r>
      <w:r>
        <w:rPr>
          <w:rFonts w:hint="default"/>
          <w:szCs w:val="32"/>
        </w:rPr>
        <w:t>对外</w:t>
      </w:r>
      <w:r>
        <w:rPr>
          <w:szCs w:val="32"/>
        </w:rPr>
        <w:t>开放需要，加强与发达国家的交流合作，</w:t>
      </w:r>
      <w:r>
        <w:rPr>
          <w:rFonts w:hint="default" w:ascii="Times New Roman"/>
          <w:color w:val="000000"/>
          <w:spacing w:val="0"/>
          <w:szCs w:val="48"/>
        </w:rPr>
        <w:t>积极与国（境）外优秀职业教育机构、企业联合开展人才培养标准研制、课程开发、师生交流等合作项目，引进国际职业资格认证，共建共享中外合作实训、实习基地。参与“一带一路”沿线国家职业技能开发合作，积极向海外推介优秀教育成果。</w:t>
      </w:r>
    </w:p>
    <w:p>
      <w:pPr>
        <w:widowControl w:val="0"/>
        <w:adjustRightInd w:val="0"/>
        <w:snapToGrid w:val="0"/>
        <w:spacing w:line="550" w:lineRule="exact"/>
        <w:ind w:firstLine="640" w:firstLineChars="200"/>
        <w:textAlignment w:val="baseline"/>
        <w:rPr>
          <w:rFonts w:ascii="Times New Roman"/>
          <w:color w:val="000000"/>
          <w:spacing w:val="0"/>
          <w:szCs w:val="48"/>
        </w:rPr>
      </w:pPr>
      <w:r>
        <w:rPr>
          <w:rFonts w:hint="default" w:ascii="Times New Roman" w:eastAsia="方正楷体_GBK"/>
          <w:color w:val="000000"/>
          <w:spacing w:val="0"/>
          <w:szCs w:val="48"/>
        </w:rPr>
        <w:t>（八）提升信息化水平。</w:t>
      </w:r>
      <w:r>
        <w:rPr>
          <w:rFonts w:hint="default" w:ascii="Times New Roman"/>
          <w:color w:val="000000"/>
          <w:spacing w:val="0"/>
          <w:szCs w:val="48"/>
        </w:rPr>
        <w:t>全面提升行政、教学、实训、校企合作、管理、服务等方面的信息化应用水平。积极开发优质专业教学资源、网络课程、模拟仿真软件和生产实际教学案例，主干专业基本建有数字化教学资源库。制度化开展信息技术能力培训，推进信息化教学模式和教学方法改革，推广教学过程与生产过程在线互动教学。</w:t>
      </w:r>
    </w:p>
    <w:p>
      <w:pPr>
        <w:widowControl w:val="0"/>
        <w:spacing w:line="550" w:lineRule="exact"/>
        <w:ind w:firstLine="640" w:firstLineChars="200"/>
        <w:textAlignment w:val="baseline"/>
        <w:rPr>
          <w:color w:val="000000"/>
          <w:spacing w:val="0"/>
          <w:szCs w:val="48"/>
        </w:rPr>
      </w:pPr>
      <w:r>
        <w:rPr>
          <w:rFonts w:eastAsia="方正黑体_GBK"/>
          <w:kern w:val="0"/>
          <w:szCs w:val="32"/>
        </w:rPr>
        <w:t>三、申报条件</w:t>
      </w:r>
    </w:p>
    <w:p>
      <w:pPr>
        <w:widowControl w:val="0"/>
        <w:spacing w:line="550" w:lineRule="exact"/>
        <w:ind w:firstLine="640" w:firstLineChars="200"/>
        <w:textAlignment w:val="baseline"/>
        <w:rPr>
          <w:rFonts w:eastAsia="方正楷体_GBK"/>
          <w:kern w:val="0"/>
          <w:szCs w:val="32"/>
        </w:rPr>
      </w:pPr>
      <w:r>
        <w:rPr>
          <w:rFonts w:hint="default" w:eastAsia="方正楷体_GBK"/>
          <w:kern w:val="0"/>
          <w:szCs w:val="32"/>
        </w:rPr>
        <w:t>（一）学校管理</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1</w:t>
      </w:r>
      <w:r>
        <w:rPr>
          <w:rFonts w:hint="default"/>
          <w:color w:val="000000"/>
          <w:szCs w:val="48"/>
        </w:rPr>
        <w:t>．</w:t>
      </w:r>
      <w:r>
        <w:rPr>
          <w:rFonts w:hint="default" w:ascii="Times New Roman"/>
          <w:color w:val="000000"/>
          <w:spacing w:val="0"/>
          <w:szCs w:val="48"/>
        </w:rPr>
        <w:t>坚持以习近平新时代中国特色社会主义思想为指导，全面加强党的领导，贯彻党的教育方针，办学定位准确，发展思路清晰，制定和有效实施了发展规划。</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2</w:t>
      </w:r>
      <w:r>
        <w:rPr>
          <w:rFonts w:hint="default"/>
          <w:color w:val="000000"/>
          <w:szCs w:val="48"/>
        </w:rPr>
        <w:t>．</w:t>
      </w:r>
      <w:r>
        <w:rPr>
          <w:rFonts w:hint="default" w:ascii="Times New Roman"/>
          <w:color w:val="000000"/>
          <w:spacing w:val="0"/>
          <w:szCs w:val="48"/>
        </w:rPr>
        <w:t>认真遵守法律法规和相关文件规定，办学行为规范，近三年各项办学活动特别是招生、学籍管理、学生资助、联合办学、工学交替、顶岗实习、财务管理、校企合作等工作中未发生违规违纪现象。</w:t>
      </w:r>
    </w:p>
    <w:p>
      <w:pPr>
        <w:widowControl w:val="0"/>
        <w:spacing w:line="550" w:lineRule="exact"/>
        <w:ind w:firstLine="640" w:firstLineChars="200"/>
        <w:textAlignment w:val="baseline"/>
        <w:rPr>
          <w:sz w:val="24"/>
          <w:highlight w:val="yellow"/>
        </w:rPr>
      </w:pPr>
      <w:r>
        <w:rPr>
          <w:color w:val="000000"/>
          <w:spacing w:val="0"/>
          <w:szCs w:val="48"/>
        </w:rPr>
        <w:t>3</w:t>
      </w:r>
      <w:r>
        <w:rPr>
          <w:rFonts w:hint="default"/>
          <w:color w:val="000000"/>
          <w:szCs w:val="48"/>
        </w:rPr>
        <w:t>．</w:t>
      </w:r>
      <w:r>
        <w:rPr>
          <w:rFonts w:hint="default" w:ascii="Times New Roman"/>
          <w:color w:val="000000"/>
          <w:spacing w:val="0"/>
          <w:szCs w:val="48"/>
        </w:rPr>
        <w:t>领导班子结构合理，具有较强的决策能力、组织能力、执行能力和开拓创新能力。校长、教学副校长应具有本科以上学历，以及高级专业技术职务或高级技师职业资格。</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4</w:t>
      </w:r>
      <w:r>
        <w:rPr>
          <w:rFonts w:hint="default"/>
          <w:color w:val="000000"/>
          <w:szCs w:val="48"/>
        </w:rPr>
        <w:t>．</w:t>
      </w:r>
      <w:r>
        <w:rPr>
          <w:rFonts w:hint="default" w:ascii="Times New Roman"/>
          <w:color w:val="000000"/>
          <w:spacing w:val="0"/>
          <w:szCs w:val="48"/>
        </w:rPr>
        <w:t>管理制度健全，建立了规范的教学管理、预算管理、学籍管理、资产管理、风险管理等制度和教育教学质量保障体系。</w:t>
      </w:r>
    </w:p>
    <w:p>
      <w:pPr>
        <w:widowControl w:val="0"/>
        <w:spacing w:line="550" w:lineRule="exact"/>
        <w:ind w:firstLine="640" w:firstLineChars="200"/>
        <w:textAlignment w:val="baseline"/>
        <w:rPr>
          <w:rFonts w:eastAsia="方正楷体_GBK"/>
          <w:kern w:val="0"/>
          <w:szCs w:val="32"/>
        </w:rPr>
      </w:pPr>
      <w:r>
        <w:rPr>
          <w:rFonts w:hint="default" w:eastAsia="方正楷体_GBK"/>
          <w:kern w:val="0"/>
          <w:szCs w:val="32"/>
        </w:rPr>
        <w:t>（二）基础条件</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5</w:t>
      </w:r>
      <w:r>
        <w:rPr>
          <w:rFonts w:hint="default"/>
          <w:color w:val="000000"/>
          <w:szCs w:val="48"/>
        </w:rPr>
        <w:t>．</w:t>
      </w:r>
      <w:r>
        <w:rPr>
          <w:rFonts w:hint="default" w:ascii="Times New Roman"/>
          <w:color w:val="000000"/>
          <w:spacing w:val="0"/>
          <w:szCs w:val="48"/>
        </w:rPr>
        <w:t>培养规模达到</w:t>
      </w:r>
      <w:r>
        <w:rPr>
          <w:color w:val="000000"/>
          <w:spacing w:val="0"/>
          <w:szCs w:val="48"/>
        </w:rPr>
        <w:t>5000</w:t>
      </w:r>
      <w:r>
        <w:rPr>
          <w:rFonts w:hint="default" w:ascii="Times New Roman"/>
          <w:color w:val="000000"/>
          <w:spacing w:val="0"/>
          <w:szCs w:val="48"/>
        </w:rPr>
        <w:t>人以上。其中全日制技工教育在校生规模不低于</w:t>
      </w:r>
      <w:r>
        <w:rPr>
          <w:color w:val="000000"/>
          <w:spacing w:val="0"/>
          <w:szCs w:val="48"/>
        </w:rPr>
        <w:t>2500</w:t>
      </w:r>
      <w:r>
        <w:rPr>
          <w:rFonts w:hint="default" w:ascii="Times New Roman"/>
          <w:color w:val="000000"/>
          <w:spacing w:val="0"/>
          <w:szCs w:val="48"/>
        </w:rPr>
        <w:t>人，年职业培训规模</w:t>
      </w:r>
      <w:r>
        <w:rPr>
          <w:color w:val="000000"/>
          <w:spacing w:val="0"/>
          <w:szCs w:val="48"/>
        </w:rPr>
        <w:t>2500</w:t>
      </w:r>
      <w:r>
        <w:rPr>
          <w:rFonts w:hint="default" w:ascii="Times New Roman"/>
          <w:color w:val="000000"/>
          <w:spacing w:val="0"/>
          <w:szCs w:val="48"/>
        </w:rPr>
        <w:t>人次以上。高级工、技师学制教育在校生规模不低于</w:t>
      </w:r>
      <w:r>
        <w:rPr>
          <w:color w:val="000000"/>
          <w:spacing w:val="0"/>
          <w:szCs w:val="48"/>
        </w:rPr>
        <w:t>50%</w:t>
      </w:r>
      <w:r>
        <w:rPr>
          <w:rFonts w:hint="default" w:ascii="Times New Roman"/>
          <w:color w:val="000000"/>
          <w:spacing w:val="0"/>
          <w:szCs w:val="48"/>
        </w:rPr>
        <w:t>，高级工以上年培训量不低于</w:t>
      </w:r>
      <w:r>
        <w:rPr>
          <w:color w:val="000000"/>
          <w:spacing w:val="0"/>
          <w:szCs w:val="48"/>
        </w:rPr>
        <w:t>1000</w:t>
      </w:r>
      <w:r>
        <w:rPr>
          <w:rFonts w:hint="default" w:ascii="Times New Roman"/>
          <w:color w:val="000000"/>
          <w:spacing w:val="0"/>
          <w:szCs w:val="48"/>
        </w:rPr>
        <w:t>人次。</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6</w:t>
      </w:r>
      <w:r>
        <w:rPr>
          <w:rFonts w:hint="default"/>
          <w:color w:val="000000"/>
          <w:szCs w:val="48"/>
        </w:rPr>
        <w:t>．</w:t>
      </w:r>
      <w:r>
        <w:rPr>
          <w:rFonts w:hint="default" w:ascii="Times New Roman"/>
          <w:color w:val="000000"/>
          <w:spacing w:val="0"/>
          <w:szCs w:val="48"/>
        </w:rPr>
        <w:t>校园占地面积不少于</w:t>
      </w:r>
      <w:r>
        <w:rPr>
          <w:color w:val="000000"/>
          <w:spacing w:val="0"/>
          <w:szCs w:val="48"/>
        </w:rPr>
        <w:t>6.6</w:t>
      </w:r>
      <w:r>
        <w:rPr>
          <w:rFonts w:hint="default" w:ascii="Times New Roman"/>
          <w:color w:val="000000"/>
          <w:spacing w:val="0"/>
          <w:szCs w:val="48"/>
        </w:rPr>
        <w:t>万平方米（约</w:t>
      </w:r>
      <w:r>
        <w:rPr>
          <w:color w:val="000000"/>
          <w:spacing w:val="0"/>
          <w:szCs w:val="48"/>
        </w:rPr>
        <w:t>100</w:t>
      </w:r>
      <w:r>
        <w:rPr>
          <w:rFonts w:hint="default" w:ascii="Times New Roman"/>
          <w:color w:val="000000"/>
          <w:spacing w:val="0"/>
          <w:szCs w:val="48"/>
        </w:rPr>
        <w:t>亩），校舍建筑面积不少于</w:t>
      </w:r>
      <w:r>
        <w:rPr>
          <w:color w:val="000000"/>
          <w:spacing w:val="0"/>
          <w:szCs w:val="48"/>
        </w:rPr>
        <w:t>5</w:t>
      </w:r>
      <w:r>
        <w:rPr>
          <w:rFonts w:hint="default" w:ascii="Times New Roman"/>
          <w:color w:val="000000"/>
          <w:spacing w:val="0"/>
          <w:szCs w:val="48"/>
        </w:rPr>
        <w:t>万平方米。其中，实习、实验场所建筑面积不少于</w:t>
      </w:r>
      <w:r>
        <w:rPr>
          <w:color w:val="000000"/>
          <w:spacing w:val="0"/>
          <w:szCs w:val="48"/>
        </w:rPr>
        <w:t>1.5</w:t>
      </w:r>
      <w:r>
        <w:rPr>
          <w:rFonts w:hint="default" w:ascii="Times New Roman"/>
          <w:color w:val="000000"/>
          <w:spacing w:val="0"/>
          <w:szCs w:val="48"/>
        </w:rPr>
        <w:t>万平方米。企业办校的占地面积、建筑面积可包括企业用于职工培训的相关场所面积。各种建筑、场地和设施符合国家建设和安全标准，满足学校办学需要。</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7</w:t>
      </w:r>
      <w:r>
        <w:rPr>
          <w:rFonts w:hint="default"/>
          <w:color w:val="000000"/>
          <w:szCs w:val="48"/>
        </w:rPr>
        <w:t>．</w:t>
      </w:r>
      <w:r>
        <w:rPr>
          <w:color w:val="000000"/>
          <w:spacing w:val="0"/>
          <w:szCs w:val="48"/>
        </w:rPr>
        <w:t>学</w:t>
      </w:r>
      <w:r>
        <w:rPr>
          <w:rFonts w:hint="default" w:ascii="Times New Roman"/>
          <w:color w:val="000000"/>
          <w:spacing w:val="0"/>
          <w:szCs w:val="48"/>
        </w:rPr>
        <w:t>校设备总值不低于</w:t>
      </w:r>
      <w:r>
        <w:rPr>
          <w:color w:val="000000"/>
          <w:spacing w:val="0"/>
          <w:szCs w:val="48"/>
        </w:rPr>
        <w:t>2500</w:t>
      </w:r>
      <w:r>
        <w:rPr>
          <w:rFonts w:hint="default" w:ascii="Times New Roman"/>
          <w:color w:val="000000"/>
          <w:spacing w:val="0"/>
          <w:szCs w:val="48"/>
        </w:rPr>
        <w:t>万元（生均</w:t>
      </w:r>
      <w:r>
        <w:rPr>
          <w:color w:val="000000"/>
          <w:spacing w:val="0"/>
          <w:szCs w:val="48"/>
        </w:rPr>
        <w:t>5000</w:t>
      </w:r>
      <w:r>
        <w:rPr>
          <w:rFonts w:hint="default" w:ascii="Times New Roman"/>
          <w:color w:val="000000"/>
          <w:spacing w:val="0"/>
          <w:szCs w:val="48"/>
        </w:rPr>
        <w:t>元），各专业均具有满足教学需要的校内实训场所和设备设施。各专业均建立了稳定的校内外实训基地，实训课开出率达</w:t>
      </w:r>
      <w:r>
        <w:rPr>
          <w:color w:val="000000"/>
          <w:spacing w:val="0"/>
          <w:szCs w:val="48"/>
        </w:rPr>
        <w:t>95%</w:t>
      </w:r>
      <w:r>
        <w:rPr>
          <w:rFonts w:hint="default" w:ascii="Times New Roman"/>
          <w:color w:val="000000"/>
          <w:spacing w:val="0"/>
          <w:szCs w:val="48"/>
        </w:rPr>
        <w:t>以上。</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8</w:t>
      </w:r>
      <w:r>
        <w:rPr>
          <w:rFonts w:hint="default"/>
          <w:color w:val="000000"/>
          <w:szCs w:val="48"/>
        </w:rPr>
        <w:t>．</w:t>
      </w:r>
      <w:r>
        <w:rPr>
          <w:rFonts w:hint="default" w:ascii="Times New Roman"/>
          <w:color w:val="000000"/>
          <w:spacing w:val="0"/>
          <w:szCs w:val="48"/>
        </w:rPr>
        <w:t>教师队伍结构合理、素质优良，符合学历要求并具备教师资格条件。学制教育师生比</w:t>
      </w:r>
      <w:r>
        <w:rPr>
          <w:color w:val="000000"/>
          <w:spacing w:val="0"/>
          <w:szCs w:val="48"/>
        </w:rPr>
        <w:t>1</w:t>
      </w:r>
      <w:r>
        <w:rPr>
          <w:rFonts w:hint="default" w:ascii="Times New Roman"/>
          <w:color w:val="000000"/>
          <w:szCs w:val="48"/>
        </w:rPr>
        <w:t>∶</w:t>
      </w:r>
      <w:r>
        <w:rPr>
          <w:color w:val="000000"/>
          <w:spacing w:val="0"/>
          <w:szCs w:val="48"/>
        </w:rPr>
        <w:t>18</w:t>
      </w:r>
      <w:r>
        <w:rPr>
          <w:rFonts w:hint="default" w:ascii="Times New Roman"/>
          <w:color w:val="000000"/>
          <w:spacing w:val="0"/>
          <w:szCs w:val="48"/>
        </w:rPr>
        <w:t>以上，兼职教师不超过教师总数的三分之一。技术理论课教师和实习指导教师应不低于教师总数的</w:t>
      </w:r>
      <w:r>
        <w:rPr>
          <w:color w:val="000000"/>
          <w:spacing w:val="0"/>
          <w:szCs w:val="48"/>
        </w:rPr>
        <w:t>70%</w:t>
      </w:r>
      <w:r>
        <w:rPr>
          <w:rFonts w:hint="default" w:ascii="Times New Roman"/>
          <w:color w:val="000000"/>
          <w:spacing w:val="0"/>
          <w:szCs w:val="48"/>
        </w:rPr>
        <w:t>，其中具有企业实践经验的教师占</w:t>
      </w:r>
      <w:r>
        <w:rPr>
          <w:color w:val="000000"/>
          <w:spacing w:val="0"/>
          <w:szCs w:val="48"/>
        </w:rPr>
        <w:t>25%</w:t>
      </w:r>
      <w:r>
        <w:rPr>
          <w:rFonts w:hint="default" w:ascii="Times New Roman"/>
          <w:color w:val="000000"/>
          <w:spacing w:val="0"/>
          <w:szCs w:val="48"/>
        </w:rPr>
        <w:t>以上。一体化教师达到技术理论课教师和实习指导教师总数的</w:t>
      </w:r>
      <w:r>
        <w:rPr>
          <w:color w:val="000000"/>
          <w:spacing w:val="0"/>
          <w:szCs w:val="48"/>
        </w:rPr>
        <w:t>60%</w:t>
      </w:r>
      <w:r>
        <w:rPr>
          <w:rFonts w:hint="default" w:ascii="Times New Roman"/>
          <w:color w:val="000000"/>
          <w:spacing w:val="0"/>
          <w:szCs w:val="48"/>
        </w:rPr>
        <w:t>以上。</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9</w:t>
      </w:r>
      <w:r>
        <w:rPr>
          <w:rFonts w:hint="default"/>
          <w:color w:val="000000"/>
          <w:szCs w:val="48"/>
        </w:rPr>
        <w:t>．</w:t>
      </w:r>
      <w:r>
        <w:rPr>
          <w:rFonts w:hint="default" w:ascii="Times New Roman"/>
          <w:color w:val="000000"/>
          <w:spacing w:val="0"/>
          <w:szCs w:val="48"/>
        </w:rPr>
        <w:t>建有功能齐全和运行流畅的校园网，便捷高效的学校管理信息系统。建有数字化教学资源库、教学平台和试题库平台。计算机数量满足教育、教学和管理需要，主要教学场所均配备了必要的多媒体设备。</w:t>
      </w:r>
    </w:p>
    <w:p>
      <w:pPr>
        <w:widowControl w:val="0"/>
        <w:spacing w:line="550" w:lineRule="exact"/>
        <w:ind w:firstLine="640" w:firstLineChars="200"/>
        <w:textAlignment w:val="baseline"/>
        <w:rPr>
          <w:rFonts w:eastAsia="方正楷体_GBK"/>
          <w:kern w:val="0"/>
          <w:szCs w:val="32"/>
        </w:rPr>
      </w:pPr>
      <w:r>
        <w:rPr>
          <w:rFonts w:hint="default" w:eastAsia="方正楷体_GBK"/>
          <w:kern w:val="0"/>
          <w:szCs w:val="32"/>
        </w:rPr>
        <w:t>（三）校企合作</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10</w:t>
      </w:r>
      <w:r>
        <w:rPr>
          <w:rFonts w:hint="default"/>
          <w:color w:val="000000"/>
          <w:szCs w:val="48"/>
        </w:rPr>
        <w:t>．</w:t>
      </w:r>
      <w:r>
        <w:rPr>
          <w:rFonts w:hint="default" w:ascii="Times New Roman"/>
          <w:color w:val="000000"/>
          <w:spacing w:val="0"/>
          <w:szCs w:val="48"/>
        </w:rPr>
        <w:t>建立有效的校企合作机制，每个主干专业均有</w:t>
      </w:r>
      <w:r>
        <w:rPr>
          <w:color w:val="000000"/>
          <w:spacing w:val="0"/>
          <w:szCs w:val="48"/>
        </w:rPr>
        <w:t>5</w:t>
      </w:r>
      <w:r>
        <w:rPr>
          <w:rFonts w:hint="default" w:ascii="Times New Roman"/>
          <w:color w:val="000000"/>
          <w:spacing w:val="0"/>
          <w:szCs w:val="48"/>
        </w:rPr>
        <w:t>家以上深度合作企业。积极推行企业新型学徒制，年培养人数达</w:t>
      </w:r>
      <w:r>
        <w:rPr>
          <w:color w:val="000000"/>
          <w:spacing w:val="0"/>
          <w:szCs w:val="48"/>
        </w:rPr>
        <w:t>500</w:t>
      </w:r>
      <w:r>
        <w:rPr>
          <w:rFonts w:hint="default" w:ascii="Times New Roman"/>
          <w:color w:val="000000"/>
          <w:spacing w:val="0"/>
          <w:szCs w:val="48"/>
        </w:rPr>
        <w:t>人以上。</w:t>
      </w:r>
      <w:r>
        <w:rPr>
          <w:rFonts w:hint="default" w:ascii="Times New Roman"/>
          <w:spacing w:val="0"/>
          <w:szCs w:val="48"/>
        </w:rPr>
        <w:t>积极参与或牵头开展集团化办学。</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11</w:t>
      </w:r>
      <w:r>
        <w:rPr>
          <w:rFonts w:hint="default"/>
          <w:color w:val="000000"/>
          <w:szCs w:val="48"/>
        </w:rPr>
        <w:t>．</w:t>
      </w:r>
      <w:r>
        <w:rPr>
          <w:rFonts w:hint="default" w:ascii="Times New Roman"/>
          <w:color w:val="000000"/>
          <w:spacing w:val="0"/>
          <w:szCs w:val="48"/>
        </w:rPr>
        <w:t>严格落实学生实习管理制度，建立完善工作机制和相应工作措施。积极落实实习期限、实习时间、实习岗位、实习安全、劳动报酬等各项规定，规范学生实习管理。</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12</w:t>
      </w:r>
      <w:r>
        <w:rPr>
          <w:rFonts w:hint="default"/>
          <w:color w:val="000000"/>
          <w:szCs w:val="48"/>
        </w:rPr>
        <w:t>．</w:t>
      </w:r>
      <w:r>
        <w:rPr>
          <w:rFonts w:hint="default" w:ascii="Times New Roman"/>
          <w:color w:val="000000"/>
          <w:spacing w:val="0"/>
          <w:szCs w:val="48"/>
        </w:rPr>
        <w:t>建立了聘任企业高技能人才和社会能工巧匠任教的机制；聘请行业企业专家和管理者参与学校建设、教学和管理的关键环节；建立了学校、行业、企业、研究机构和其他社会组织等方面共同参与的教育教学评价机制。</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13</w:t>
      </w:r>
      <w:r>
        <w:rPr>
          <w:rFonts w:hint="default"/>
          <w:color w:val="000000"/>
          <w:szCs w:val="48"/>
        </w:rPr>
        <w:t>．</w:t>
      </w:r>
      <w:r>
        <w:rPr>
          <w:rFonts w:hint="default" w:ascii="Times New Roman"/>
          <w:color w:val="000000"/>
          <w:spacing w:val="0"/>
          <w:szCs w:val="48"/>
        </w:rPr>
        <w:t>充分利用学校教育资源，积极开展面向企业和社会的职业培训以及生产、咨询和技术服务，已成为相关行业、企业技能型人才培养、培训基地，示范引领作用突出。</w:t>
      </w:r>
    </w:p>
    <w:p>
      <w:pPr>
        <w:widowControl w:val="0"/>
        <w:spacing w:line="550" w:lineRule="exact"/>
        <w:ind w:firstLine="640" w:firstLineChars="200"/>
        <w:textAlignment w:val="baseline"/>
        <w:rPr>
          <w:rFonts w:eastAsia="方正楷体_GBK"/>
          <w:kern w:val="0"/>
          <w:szCs w:val="32"/>
        </w:rPr>
      </w:pPr>
      <w:r>
        <w:rPr>
          <w:rFonts w:hint="default" w:eastAsia="方正楷体_GBK"/>
          <w:kern w:val="0"/>
          <w:szCs w:val="32"/>
        </w:rPr>
        <w:t>（四）教育教学</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14</w:t>
      </w:r>
      <w:r>
        <w:rPr>
          <w:rFonts w:hint="default"/>
          <w:color w:val="000000"/>
          <w:szCs w:val="48"/>
        </w:rPr>
        <w:t>．</w:t>
      </w:r>
      <w:r>
        <w:rPr>
          <w:rFonts w:hint="default" w:ascii="Times New Roman"/>
          <w:color w:val="000000"/>
          <w:spacing w:val="0"/>
          <w:szCs w:val="48"/>
        </w:rPr>
        <w:t>坚持育人为本、德育为先，不断加强和改进德育工作，创新德育内容、方法和途径，校风校纪好。组织保障有力，管理机制健全，德育工作队伍素质高。</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15</w:t>
      </w:r>
      <w:r>
        <w:rPr>
          <w:rFonts w:hint="default"/>
          <w:color w:val="000000"/>
          <w:szCs w:val="48"/>
        </w:rPr>
        <w:t>．</w:t>
      </w:r>
      <w:r>
        <w:rPr>
          <w:rFonts w:hint="default" w:ascii="Times New Roman"/>
          <w:color w:val="000000"/>
          <w:spacing w:val="0"/>
          <w:szCs w:val="48"/>
        </w:rPr>
        <w:t>主动适应当地经济社会发展和企业需求，形成了对接产业、企业、岗位的专业建设和动态调整机制。专业结构合理，特色鲜明，主干专业建设成效明显，与重点产业匹配度达80%，有</w:t>
      </w:r>
      <w:r>
        <w:rPr>
          <w:color w:val="000000"/>
          <w:spacing w:val="0"/>
          <w:szCs w:val="48"/>
        </w:rPr>
        <w:t>2</w:t>
      </w:r>
      <w:r>
        <w:rPr>
          <w:rFonts w:hint="default" w:ascii="Times New Roman"/>
          <w:color w:val="000000"/>
          <w:spacing w:val="0"/>
          <w:szCs w:val="48"/>
        </w:rPr>
        <w:t>个省级以上示范（重点）专业。</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16</w:t>
      </w:r>
      <w:r>
        <w:rPr>
          <w:rFonts w:hint="default"/>
          <w:color w:val="000000"/>
          <w:szCs w:val="48"/>
        </w:rPr>
        <w:t>．</w:t>
      </w:r>
      <w:r>
        <w:rPr>
          <w:rFonts w:hint="default" w:ascii="Times New Roman"/>
          <w:color w:val="000000"/>
          <w:spacing w:val="0"/>
          <w:szCs w:val="48"/>
        </w:rPr>
        <w:t>有效推行工学结合的人才培养模式，深入开展项目教学、案例教学、场景教学、模拟教学和岗位教学，专业教学过程对接生产过程。</w:t>
      </w:r>
    </w:p>
    <w:p>
      <w:pPr>
        <w:widowControl w:val="0"/>
        <w:spacing w:line="550" w:lineRule="exact"/>
        <w:ind w:firstLine="640" w:firstLineChars="200"/>
        <w:textAlignment w:val="baseline"/>
        <w:rPr>
          <w:rFonts w:ascii="Times New Roman"/>
          <w:color w:val="000000"/>
          <w:spacing w:val="0"/>
          <w:szCs w:val="48"/>
        </w:rPr>
      </w:pPr>
      <w:r>
        <w:rPr>
          <w:color w:val="000000"/>
          <w:spacing w:val="0"/>
          <w:szCs w:val="48"/>
        </w:rPr>
        <w:t>17</w:t>
      </w:r>
      <w:r>
        <w:rPr>
          <w:rFonts w:hint="default"/>
          <w:color w:val="000000"/>
          <w:szCs w:val="48"/>
        </w:rPr>
        <w:t>．</w:t>
      </w:r>
      <w:r>
        <w:rPr>
          <w:rFonts w:hint="default" w:ascii="Times New Roman"/>
          <w:color w:val="000000"/>
          <w:spacing w:val="0"/>
          <w:szCs w:val="48"/>
        </w:rPr>
        <w:t>建立了理论与实践相融合、教学内容与岗位需求相适应的一体化课程体系，教学文件规范齐全。引进国外先进课程体系，积极拓展国际合作。</w:t>
      </w:r>
    </w:p>
    <w:p>
      <w:pPr>
        <w:widowControl w:val="0"/>
        <w:spacing w:line="550" w:lineRule="exact"/>
        <w:ind w:firstLine="640" w:firstLineChars="200"/>
        <w:textAlignment w:val="baseline"/>
        <w:rPr>
          <w:color w:val="000000"/>
          <w:spacing w:val="0"/>
          <w:szCs w:val="48"/>
        </w:rPr>
      </w:pPr>
      <w:r>
        <w:rPr>
          <w:color w:val="000000"/>
          <w:spacing w:val="0"/>
          <w:szCs w:val="48"/>
        </w:rPr>
        <w:t>18</w:t>
      </w:r>
      <w:r>
        <w:rPr>
          <w:rFonts w:hint="default"/>
          <w:color w:val="000000"/>
          <w:szCs w:val="48"/>
        </w:rPr>
        <w:t>．</w:t>
      </w:r>
      <w:r>
        <w:rPr>
          <w:color w:val="000000"/>
          <w:spacing w:val="0"/>
          <w:szCs w:val="48"/>
        </w:rPr>
        <w:t>建立了教师队伍长效建设机制，专业带头人和骨干教师培养成效显著，拥有省级教学名师和专业带头人。落实了专业教师企业实践制度。</w:t>
      </w:r>
    </w:p>
    <w:p>
      <w:pPr>
        <w:widowControl w:val="0"/>
        <w:spacing w:line="550" w:lineRule="exact"/>
        <w:ind w:firstLine="640" w:firstLineChars="200"/>
        <w:textAlignment w:val="baseline"/>
        <w:rPr>
          <w:rFonts w:eastAsia="方正楷体_GBK"/>
          <w:kern w:val="0"/>
          <w:szCs w:val="32"/>
        </w:rPr>
      </w:pPr>
      <w:r>
        <w:rPr>
          <w:rFonts w:eastAsia="方正楷体_GBK"/>
          <w:kern w:val="0"/>
          <w:szCs w:val="32"/>
        </w:rPr>
        <w:t>（五）办学质量</w:t>
      </w:r>
    </w:p>
    <w:p>
      <w:pPr>
        <w:widowControl w:val="0"/>
        <w:spacing w:line="550" w:lineRule="exact"/>
        <w:ind w:firstLine="640" w:firstLineChars="200"/>
        <w:textAlignment w:val="baseline"/>
        <w:rPr>
          <w:color w:val="000000"/>
          <w:spacing w:val="0"/>
          <w:szCs w:val="48"/>
        </w:rPr>
      </w:pPr>
      <w:r>
        <w:rPr>
          <w:color w:val="000000"/>
          <w:spacing w:val="0"/>
          <w:szCs w:val="48"/>
        </w:rPr>
        <w:t>19</w:t>
      </w:r>
      <w:r>
        <w:rPr>
          <w:rFonts w:hint="default"/>
          <w:color w:val="000000"/>
          <w:szCs w:val="48"/>
        </w:rPr>
        <w:t>．</w:t>
      </w:r>
      <w:r>
        <w:rPr>
          <w:color w:val="000000"/>
          <w:spacing w:val="0"/>
          <w:szCs w:val="48"/>
        </w:rPr>
        <w:t>近三年毕业生就业率达到95％以上。用人单位对学生反映良好，满意率达到85％以上。</w:t>
      </w:r>
    </w:p>
    <w:p>
      <w:pPr>
        <w:widowControl w:val="0"/>
        <w:spacing w:line="550" w:lineRule="exact"/>
        <w:ind w:firstLine="640" w:firstLineChars="200"/>
        <w:textAlignment w:val="baseline"/>
        <w:rPr>
          <w:color w:val="000000"/>
          <w:spacing w:val="0"/>
          <w:szCs w:val="48"/>
        </w:rPr>
      </w:pPr>
      <w:r>
        <w:rPr>
          <w:color w:val="000000"/>
          <w:spacing w:val="0"/>
          <w:szCs w:val="48"/>
        </w:rPr>
        <w:t>20</w:t>
      </w:r>
      <w:r>
        <w:rPr>
          <w:rFonts w:hint="default"/>
          <w:color w:val="000000"/>
          <w:szCs w:val="48"/>
        </w:rPr>
        <w:t>．</w:t>
      </w:r>
      <w:r>
        <w:rPr>
          <w:color w:val="000000"/>
          <w:spacing w:val="0"/>
          <w:szCs w:val="48"/>
        </w:rPr>
        <w:t>积极参与重点行业、新职业、新工种技能人才评价技术资源开发工作。申报成为职业技能等级认定第三方评价机构，面向院校学生、企业职工、社会人员广泛开展职业技能等级认定工作。</w:t>
      </w:r>
    </w:p>
    <w:p>
      <w:pPr>
        <w:widowControl w:val="0"/>
        <w:spacing w:line="550" w:lineRule="exact"/>
        <w:ind w:firstLine="640" w:firstLineChars="200"/>
        <w:textAlignment w:val="baseline"/>
        <w:rPr>
          <w:color w:val="000000"/>
          <w:spacing w:val="0"/>
          <w:szCs w:val="48"/>
        </w:rPr>
      </w:pPr>
      <w:r>
        <w:rPr>
          <w:color w:val="000000"/>
          <w:spacing w:val="0"/>
          <w:szCs w:val="48"/>
        </w:rPr>
        <w:t>21</w:t>
      </w:r>
      <w:r>
        <w:rPr>
          <w:rFonts w:hint="default"/>
          <w:color w:val="000000"/>
          <w:szCs w:val="48"/>
        </w:rPr>
        <w:t>．</w:t>
      </w:r>
      <w:r>
        <w:rPr>
          <w:color w:val="000000"/>
          <w:spacing w:val="0"/>
          <w:szCs w:val="48"/>
        </w:rPr>
        <w:t>近三年学校在世界技能大赛、全国职业技能大赛、全国行业职业技能竞赛以及江苏技能状元大赛中取得较好成绩。举办或承办省级以上职业技能竞赛。</w:t>
      </w:r>
    </w:p>
    <w:p>
      <w:pPr>
        <w:widowControl w:val="0"/>
        <w:spacing w:line="550" w:lineRule="exact"/>
        <w:ind w:firstLine="640" w:firstLineChars="200"/>
        <w:textAlignment w:val="baseline"/>
        <w:rPr>
          <w:rFonts w:eastAsia="方正楷体_GBK"/>
          <w:kern w:val="0"/>
          <w:szCs w:val="32"/>
        </w:rPr>
      </w:pPr>
      <w:r>
        <w:rPr>
          <w:rFonts w:eastAsia="方正楷体_GBK"/>
          <w:kern w:val="0"/>
          <w:szCs w:val="32"/>
        </w:rPr>
        <w:t>（六）否决项</w:t>
      </w:r>
    </w:p>
    <w:p>
      <w:pPr>
        <w:widowControl w:val="0"/>
        <w:spacing w:line="550" w:lineRule="exact"/>
        <w:ind w:firstLine="640" w:firstLineChars="200"/>
        <w:textAlignment w:val="baseline"/>
        <w:rPr>
          <w:color w:val="000000"/>
          <w:spacing w:val="0"/>
          <w:szCs w:val="48"/>
        </w:rPr>
      </w:pPr>
      <w:r>
        <w:rPr>
          <w:color w:val="000000"/>
          <w:spacing w:val="0"/>
          <w:szCs w:val="48"/>
        </w:rPr>
        <w:t>22</w:t>
      </w:r>
      <w:r>
        <w:rPr>
          <w:rFonts w:hint="default"/>
          <w:color w:val="000000"/>
          <w:szCs w:val="48"/>
        </w:rPr>
        <w:t>．</w:t>
      </w:r>
      <w:r>
        <w:rPr>
          <w:color w:val="000000"/>
          <w:spacing w:val="0"/>
          <w:szCs w:val="48"/>
        </w:rPr>
        <w:t>近三年受到县级以上人社部门通报批评；年度评估不合格；校舍、消防、教学、实习、食品安全和学校治安、卫生防疫等措施不力，存在严重安全隐患或发生重大安全事故、治安事件、群体性事件、舆情事件；严重违反技工院校办学规定，造成恶劣社会影响的学校不得申报，停报期三年（自被叫停申报的年度起算）。</w:t>
      </w:r>
    </w:p>
    <w:p>
      <w:pPr>
        <w:widowControl w:val="0"/>
        <w:spacing w:line="550" w:lineRule="exact"/>
        <w:ind w:firstLine="640" w:firstLineChars="200"/>
        <w:jc w:val="both"/>
        <w:rPr>
          <w:rFonts w:eastAsia="方正黑体_GBK"/>
          <w:kern w:val="0"/>
          <w:szCs w:val="32"/>
        </w:rPr>
      </w:pPr>
      <w:r>
        <w:rPr>
          <w:rFonts w:eastAsia="方正黑体_GBK"/>
          <w:kern w:val="0"/>
          <w:szCs w:val="32"/>
        </w:rPr>
        <w:t>四、申报程序</w:t>
      </w:r>
    </w:p>
    <w:p>
      <w:pPr>
        <w:spacing w:line="550" w:lineRule="exact"/>
        <w:ind w:firstLine="640" w:firstLineChars="200"/>
        <w:rPr>
          <w:color w:val="000000"/>
          <w:spacing w:val="0"/>
          <w:szCs w:val="48"/>
        </w:rPr>
      </w:pPr>
      <w:r>
        <w:rPr>
          <w:rFonts w:hint="default"/>
          <w:color w:val="000000"/>
          <w:spacing w:val="0"/>
          <w:szCs w:val="48"/>
        </w:rPr>
        <w:t>（一）</w:t>
      </w:r>
      <w:r>
        <w:rPr>
          <w:color w:val="000000"/>
          <w:spacing w:val="0"/>
          <w:szCs w:val="48"/>
        </w:rPr>
        <w:t>技工院校对照申报条件、评选标准进行自评，围绕主要任务制定工作方案，填报相关材料并报送至设区市人力资源社会保障局。</w:t>
      </w:r>
    </w:p>
    <w:p>
      <w:pPr>
        <w:spacing w:line="550" w:lineRule="exact"/>
        <w:ind w:firstLine="640" w:firstLineChars="200"/>
        <w:rPr>
          <w:szCs w:val="32"/>
        </w:rPr>
      </w:pPr>
      <w:r>
        <w:rPr>
          <w:rFonts w:hint="default"/>
          <w:color w:val="000000"/>
          <w:spacing w:val="0"/>
          <w:szCs w:val="48"/>
        </w:rPr>
        <w:t>（二）</w:t>
      </w:r>
      <w:r>
        <w:rPr>
          <w:color w:val="000000"/>
          <w:spacing w:val="0"/>
          <w:szCs w:val="48"/>
        </w:rPr>
        <w:t>设区市人力资源社会保障局根据申报条件要求，按照“公平、公正、公开”原则，开展高水平技工院校项目预审、遴选工作，确定</w:t>
      </w:r>
      <w:r>
        <w:rPr>
          <w:rFonts w:hint="default"/>
          <w:color w:val="000000"/>
          <w:spacing w:val="0"/>
          <w:szCs w:val="48"/>
        </w:rPr>
        <w:t>1</w:t>
      </w:r>
      <w:r>
        <w:rPr>
          <w:rFonts w:hint="default"/>
          <w:color w:val="000000"/>
          <w:szCs w:val="48"/>
        </w:rPr>
        <w:t>～</w:t>
      </w:r>
      <w:r>
        <w:rPr>
          <w:rFonts w:hint="default"/>
          <w:color w:val="000000"/>
          <w:spacing w:val="0"/>
          <w:szCs w:val="48"/>
        </w:rPr>
        <w:t>2个</w:t>
      </w:r>
      <w:r>
        <w:rPr>
          <w:color w:val="000000"/>
          <w:spacing w:val="0"/>
          <w:szCs w:val="48"/>
        </w:rPr>
        <w:t>候选项目并按优先顺序排序后报省人力资源社会保障厅。在预审和遴选工作中要严格把握标准、规范操作程序，确保申报学校符合条件。</w:t>
      </w:r>
    </w:p>
    <w:p>
      <w:pPr>
        <w:spacing w:line="550" w:lineRule="exact"/>
        <w:ind w:firstLine="640" w:firstLineChars="200"/>
        <w:rPr>
          <w:color w:val="000000"/>
          <w:spacing w:val="0"/>
          <w:szCs w:val="48"/>
        </w:rPr>
      </w:pPr>
      <w:r>
        <w:rPr>
          <w:rFonts w:hint="default"/>
          <w:color w:val="000000"/>
          <w:spacing w:val="0"/>
          <w:szCs w:val="48"/>
        </w:rPr>
        <w:t>（三）</w:t>
      </w:r>
      <w:r>
        <w:rPr>
          <w:color w:val="000000"/>
          <w:spacing w:val="0"/>
          <w:szCs w:val="48"/>
        </w:rPr>
        <w:t>省人力资源社会保障厅组织专家对各地推荐申报的项目进行评审，确定拟建项目并经公示无异议后，报省财政厅进行项目预算审核。</w:t>
      </w:r>
    </w:p>
    <w:p>
      <w:pPr>
        <w:widowControl w:val="0"/>
        <w:spacing w:line="550" w:lineRule="exact"/>
        <w:ind w:firstLine="640" w:firstLineChars="200"/>
        <w:textAlignment w:val="baseline"/>
        <w:rPr>
          <w:rFonts w:eastAsia="方正黑体_GBK"/>
          <w:kern w:val="0"/>
          <w:szCs w:val="32"/>
        </w:rPr>
      </w:pPr>
      <w:r>
        <w:rPr>
          <w:rFonts w:eastAsia="方正黑体_GBK"/>
          <w:kern w:val="0"/>
          <w:szCs w:val="32"/>
        </w:rPr>
        <w:t>五、项目经费</w:t>
      </w:r>
    </w:p>
    <w:p>
      <w:pPr>
        <w:widowControl w:val="0"/>
        <w:spacing w:line="550" w:lineRule="exact"/>
        <w:ind w:firstLine="640" w:firstLineChars="200"/>
        <w:textAlignment w:val="baseline"/>
        <w:rPr>
          <w:color w:val="000000"/>
          <w:spacing w:val="0"/>
          <w:szCs w:val="48"/>
        </w:rPr>
      </w:pPr>
      <w:r>
        <w:rPr>
          <w:color w:val="000000"/>
          <w:spacing w:val="0"/>
          <w:szCs w:val="48"/>
        </w:rPr>
        <w:t>高水平技工院校项目建设周期一般为</w:t>
      </w:r>
      <w:r>
        <w:rPr>
          <w:rFonts w:hint="default"/>
          <w:color w:val="000000"/>
          <w:spacing w:val="0"/>
          <w:szCs w:val="48"/>
        </w:rPr>
        <w:t>2</w:t>
      </w:r>
      <w:r>
        <w:rPr>
          <w:color w:val="000000"/>
          <w:spacing w:val="0"/>
          <w:szCs w:val="48"/>
        </w:rPr>
        <w:t>年，省财政对相关学校给予</w:t>
      </w:r>
      <w:r>
        <w:rPr>
          <w:rFonts w:hint="default"/>
          <w:color w:val="000000"/>
          <w:spacing w:val="0"/>
          <w:szCs w:val="48"/>
        </w:rPr>
        <w:t>一定的</w:t>
      </w:r>
      <w:r>
        <w:rPr>
          <w:color w:val="000000"/>
          <w:spacing w:val="0"/>
          <w:szCs w:val="48"/>
        </w:rPr>
        <w:t>经费支持。学校要多渠道筹措发展资金，积极争取行业、企业和社会各方投入。各设区市应加大建设扶持力度，共同推动高水平技工院校的建设。</w:t>
      </w:r>
    </w:p>
    <w:p>
      <w:pPr>
        <w:widowControl w:val="0"/>
        <w:spacing w:line="550" w:lineRule="exact"/>
        <w:ind w:firstLine="640" w:firstLineChars="200"/>
        <w:textAlignment w:val="baseline"/>
        <w:rPr>
          <w:rFonts w:eastAsia="方正黑体_GBK"/>
          <w:kern w:val="0"/>
          <w:szCs w:val="32"/>
        </w:rPr>
      </w:pPr>
      <w:r>
        <w:rPr>
          <w:rFonts w:eastAsia="方正黑体_GBK"/>
          <w:kern w:val="0"/>
          <w:szCs w:val="32"/>
        </w:rPr>
        <w:t>六、项目保障</w:t>
      </w:r>
    </w:p>
    <w:p>
      <w:pPr>
        <w:widowControl w:val="0"/>
        <w:spacing w:line="550" w:lineRule="exact"/>
        <w:ind w:firstLine="640" w:firstLineChars="200"/>
        <w:textAlignment w:val="baseline"/>
        <w:rPr>
          <w:rFonts w:eastAsia="仿宋_GB2312"/>
          <w:b/>
          <w:szCs w:val="32"/>
        </w:rPr>
      </w:pPr>
      <w:r>
        <w:rPr>
          <w:rFonts w:eastAsia="方正楷体_GBK"/>
          <w:kern w:val="0"/>
          <w:szCs w:val="32"/>
        </w:rPr>
        <w:t>（一）加强组织领导。</w:t>
      </w:r>
      <w:r>
        <w:rPr>
          <w:color w:val="000000"/>
          <w:spacing w:val="0"/>
          <w:szCs w:val="48"/>
        </w:rPr>
        <w:t>相关技工院校应建立由院（校）长牵头，分管院（校）长具体负责的项目实施领导小组，加强对高水平技工院校建设工作的组织领导。要完善项目建设管理制度，健全项目建设推进协调机制，配备专门人员系统推进各项建设工作，确保项目建设成效。要加大宣传力度，提升技工教育的影响力和美誉度。</w:t>
      </w:r>
    </w:p>
    <w:p>
      <w:pPr>
        <w:widowControl w:val="0"/>
        <w:spacing w:line="550" w:lineRule="exact"/>
        <w:ind w:firstLine="640" w:firstLineChars="200"/>
        <w:textAlignment w:val="baseline"/>
        <w:rPr>
          <w:rFonts w:eastAsia="仿宋_GB2312"/>
          <w:szCs w:val="32"/>
        </w:rPr>
      </w:pPr>
      <w:r>
        <w:rPr>
          <w:rFonts w:eastAsia="方正楷体_GBK"/>
          <w:kern w:val="0"/>
          <w:szCs w:val="32"/>
        </w:rPr>
        <w:t>（二）实施过程管理。</w:t>
      </w:r>
      <w:r>
        <w:rPr>
          <w:color w:val="000000"/>
          <w:spacing w:val="0"/>
          <w:szCs w:val="48"/>
        </w:rPr>
        <w:t>相关技工院校应制定具体工作方案，明确各阶段工作目标，细化工作举措，定期报送学制教育、职业培训、竞赛集训、技师研修、技能评价、就业服务等信息，为评估建设运转状况，提高项目实施的有效性提供依据。</w:t>
      </w:r>
    </w:p>
    <w:p>
      <w:pPr>
        <w:widowControl w:val="0"/>
        <w:spacing w:line="550" w:lineRule="exact"/>
        <w:ind w:firstLine="640" w:firstLineChars="200"/>
        <w:textAlignment w:val="baseline"/>
        <w:rPr>
          <w:color w:val="000000"/>
          <w:spacing w:val="0"/>
          <w:szCs w:val="48"/>
        </w:rPr>
      </w:pPr>
      <w:r>
        <w:rPr>
          <w:rFonts w:eastAsia="方正楷体_GBK"/>
          <w:kern w:val="0"/>
          <w:szCs w:val="32"/>
        </w:rPr>
        <w:t>（三）强化绩效考核。</w:t>
      </w:r>
      <w:r>
        <w:rPr>
          <w:color w:val="000000"/>
          <w:spacing w:val="0"/>
          <w:szCs w:val="48"/>
        </w:rPr>
        <w:t>由省人力资源社会保障厅、省财政厅联合对项目进行验收。对建设成效显著、运行机制完善、绩效特别突出的院校，允许再次申报。对建设措施不力、绩效不合格的院校，由省人力资源社会保障厅、省财政厅责令整改，整改仍不合格的，则相应扣回已拨的专项资金。</w:t>
      </w:r>
    </w:p>
    <w:p>
      <w:pPr>
        <w:widowControl w:val="0"/>
        <w:spacing w:line="550" w:lineRule="exact"/>
        <w:ind w:firstLine="600" w:firstLineChars="200"/>
        <w:textAlignment w:val="baseline"/>
        <w:rPr>
          <w:color w:val="000000"/>
          <w:spacing w:val="-10"/>
          <w:szCs w:val="48"/>
        </w:rPr>
      </w:pPr>
    </w:p>
    <w:p>
      <w:pPr>
        <w:widowControl/>
        <w:spacing w:line="590" w:lineRule="exact"/>
        <w:textAlignment w:val="baseline"/>
        <w:rPr>
          <w:rFonts w:hint="default"/>
          <w:color w:val="000000"/>
          <w:spacing w:val="-10"/>
          <w:szCs w:val="48"/>
        </w:rPr>
      </w:pPr>
    </w:p>
    <w:p>
      <w:pPr>
        <w:widowControl/>
        <w:spacing w:line="590" w:lineRule="exact"/>
        <w:textAlignment w:val="baseline"/>
        <w:rPr>
          <w:rFonts w:hint="default"/>
          <w:color w:val="000000"/>
          <w:spacing w:val="-10"/>
          <w:szCs w:val="48"/>
        </w:rPr>
      </w:pPr>
    </w:p>
    <w:p>
      <w:pPr>
        <w:widowControl/>
        <w:spacing w:line="590" w:lineRule="exact"/>
        <w:textAlignment w:val="baseline"/>
        <w:rPr>
          <w:rFonts w:hint="default"/>
          <w:color w:val="000000"/>
          <w:spacing w:val="-10"/>
          <w:szCs w:val="48"/>
        </w:rPr>
      </w:pPr>
    </w:p>
    <w:p>
      <w:pPr>
        <w:widowControl/>
        <w:spacing w:line="590" w:lineRule="exact"/>
        <w:textAlignment w:val="baseline"/>
        <w:rPr>
          <w:rFonts w:hint="default"/>
          <w:color w:val="000000"/>
          <w:spacing w:val="-10"/>
          <w:szCs w:val="48"/>
        </w:rPr>
      </w:pPr>
    </w:p>
    <w:p>
      <w:pPr>
        <w:widowControl/>
        <w:spacing w:line="590" w:lineRule="exact"/>
        <w:textAlignment w:val="baseline"/>
        <w:rPr>
          <w:rFonts w:hint="default"/>
          <w:color w:val="000000"/>
          <w:spacing w:val="-10"/>
          <w:szCs w:val="48"/>
        </w:rPr>
      </w:pPr>
    </w:p>
    <w:p>
      <w:pPr>
        <w:widowControl/>
        <w:spacing w:line="590" w:lineRule="exact"/>
        <w:textAlignment w:val="baseline"/>
        <w:rPr>
          <w:rFonts w:hint="default"/>
          <w:color w:val="000000"/>
          <w:spacing w:val="-10"/>
          <w:szCs w:val="48"/>
        </w:rPr>
      </w:pPr>
    </w:p>
    <w:p>
      <w:pPr>
        <w:widowControl/>
        <w:spacing w:line="590" w:lineRule="exact"/>
        <w:textAlignment w:val="baseline"/>
        <w:rPr>
          <w:rFonts w:hint="default"/>
          <w:color w:val="000000"/>
          <w:spacing w:val="-10"/>
          <w:szCs w:val="48"/>
        </w:rPr>
      </w:pPr>
    </w:p>
    <w:p>
      <w:pPr>
        <w:widowControl/>
        <w:spacing w:line="590" w:lineRule="exact"/>
        <w:textAlignment w:val="baseline"/>
        <w:rPr>
          <w:rFonts w:hint="default"/>
          <w:color w:val="000000"/>
          <w:spacing w:val="-10"/>
          <w:szCs w:val="48"/>
        </w:rPr>
      </w:pPr>
    </w:p>
    <w:p>
      <w:pPr>
        <w:widowControl/>
        <w:spacing w:line="590" w:lineRule="exact"/>
        <w:textAlignment w:val="baseline"/>
        <w:rPr>
          <w:rFonts w:hint="default"/>
          <w:color w:val="000000"/>
          <w:spacing w:val="-10"/>
          <w:szCs w:val="48"/>
        </w:rPr>
      </w:pPr>
    </w:p>
    <w:p>
      <w:pPr>
        <w:widowControl/>
        <w:spacing w:line="360" w:lineRule="auto"/>
        <w:jc w:val="center"/>
        <w:textAlignment w:val="baseline"/>
        <w:rPr>
          <w:rFonts w:hint="default" w:ascii="Times New Roman" w:eastAsia="方正小标宋_GBK"/>
          <w:sz w:val="44"/>
          <w:szCs w:val="44"/>
        </w:rPr>
      </w:pPr>
    </w:p>
    <w:p>
      <w:pPr>
        <w:widowControl w:val="0"/>
        <w:spacing w:line="640" w:lineRule="exact"/>
        <w:jc w:val="center"/>
        <w:textAlignment w:val="baseline"/>
        <w:rPr>
          <w:rFonts w:hint="eastAsia" w:eastAsia="方正小标宋_GBK"/>
          <w:sz w:val="54"/>
          <w:szCs w:val="54"/>
        </w:rPr>
      </w:pPr>
      <w:r>
        <w:rPr>
          <w:rFonts w:hint="default" w:ascii="Times New Roman" w:eastAsia="方正小标宋_GBK"/>
          <w:sz w:val="54"/>
          <w:szCs w:val="54"/>
        </w:rPr>
        <w:t>江苏省高水平技工院校</w:t>
      </w:r>
    </w:p>
    <w:p>
      <w:pPr>
        <w:widowControl w:val="0"/>
        <w:spacing w:line="640" w:lineRule="exact"/>
        <w:jc w:val="center"/>
        <w:textAlignment w:val="baseline"/>
        <w:rPr>
          <w:rFonts w:hint="default" w:ascii="Times New Roman" w:eastAsia="方正小标宋_GBK"/>
          <w:sz w:val="54"/>
          <w:szCs w:val="54"/>
        </w:rPr>
      </w:pPr>
      <w:r>
        <w:rPr>
          <w:rFonts w:hint="default" w:ascii="Times New Roman" w:eastAsia="方正小标宋_GBK"/>
          <w:sz w:val="54"/>
          <w:szCs w:val="54"/>
        </w:rPr>
        <w:t>申</w:t>
      </w:r>
      <w:r>
        <w:rPr>
          <w:rFonts w:hint="eastAsia" w:eastAsia="方正小标宋_GBK"/>
          <w:sz w:val="54"/>
          <w:szCs w:val="54"/>
        </w:rPr>
        <w:t xml:space="preserve"> </w:t>
      </w:r>
      <w:r>
        <w:rPr>
          <w:rFonts w:hint="default" w:ascii="Times New Roman" w:eastAsia="方正小标宋_GBK"/>
          <w:sz w:val="54"/>
          <w:szCs w:val="54"/>
        </w:rPr>
        <w:t>报</w:t>
      </w:r>
      <w:r>
        <w:rPr>
          <w:rFonts w:hint="eastAsia" w:eastAsia="方正小标宋_GBK"/>
          <w:sz w:val="54"/>
          <w:szCs w:val="54"/>
        </w:rPr>
        <w:t xml:space="preserve"> </w:t>
      </w:r>
      <w:r>
        <w:rPr>
          <w:rFonts w:hint="default" w:ascii="Times New Roman" w:eastAsia="方正小标宋_GBK"/>
          <w:sz w:val="54"/>
          <w:szCs w:val="54"/>
        </w:rPr>
        <w:t>书</w:t>
      </w:r>
    </w:p>
    <w:p>
      <w:pPr>
        <w:rPr>
          <w:rFonts w:hint="default" w:eastAsia="黑体"/>
          <w:sz w:val="30"/>
          <w:szCs w:val="30"/>
        </w:rPr>
      </w:pPr>
    </w:p>
    <w:p>
      <w:pPr>
        <w:rPr>
          <w:rFonts w:hint="default" w:eastAsia="黑体"/>
          <w:sz w:val="30"/>
          <w:szCs w:val="30"/>
        </w:rPr>
      </w:pPr>
    </w:p>
    <w:p>
      <w:pPr>
        <w:rPr>
          <w:rFonts w:hint="default" w:eastAsia="黑体"/>
          <w:sz w:val="30"/>
          <w:szCs w:val="30"/>
        </w:rPr>
      </w:pPr>
    </w:p>
    <w:p>
      <w:pPr>
        <w:rPr>
          <w:rFonts w:hint="default" w:eastAsia="黑体"/>
          <w:sz w:val="30"/>
          <w:szCs w:val="30"/>
        </w:rPr>
      </w:pPr>
    </w:p>
    <w:tbl>
      <w:tblPr>
        <w:tblStyle w:val="7"/>
        <w:tblW w:w="6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院校名称</w:t>
            </w:r>
          </w:p>
        </w:tc>
        <w:tc>
          <w:tcPr>
            <w:tcW w:w="4530" w:type="dxa"/>
            <w:tcBorders>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所属市别</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主管部门</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法人代表</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联系方式</w:t>
            </w:r>
          </w:p>
        </w:tc>
        <w:tc>
          <w:tcPr>
            <w:tcW w:w="4530" w:type="dxa"/>
            <w:tcBorders>
              <w:top w:val="single" w:color="auto" w:sz="8" w:space="0"/>
              <w:bottom w:val="single" w:color="auto" w:sz="8" w:space="0"/>
            </w:tcBorders>
            <w:vAlign w:val="bottom"/>
          </w:tcPr>
          <w:p>
            <w:pPr>
              <w:widowControl/>
              <w:textAlignment w:val="baseline"/>
            </w:pPr>
            <w:r>
              <w:rPr>
                <w:rFonts w:eastAsia="方正楷体_GBK"/>
                <w:sz w:val="30"/>
                <w:szCs w:val="30"/>
              </w:rPr>
              <w:t>办公电话：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top"/>
          </w:tcPr>
          <w:p>
            <w:pPr>
              <w:widowControl/>
              <w:textAlignment w:val="baseline"/>
            </w:pPr>
          </w:p>
        </w:tc>
        <w:tc>
          <w:tcPr>
            <w:tcW w:w="4530" w:type="dxa"/>
            <w:tcBorders>
              <w:top w:val="single" w:color="auto" w:sz="8" w:space="0"/>
              <w:bottom w:val="single" w:color="auto" w:sz="8" w:space="0"/>
            </w:tcBorders>
            <w:vAlign w:val="bottom"/>
          </w:tcPr>
          <w:p>
            <w:pPr>
              <w:widowControl/>
              <w:textAlignment w:val="baseline"/>
            </w:pPr>
            <w:r>
              <w:rPr>
                <w:rFonts w:eastAsia="方正楷体_GBK"/>
                <w:sz w:val="30"/>
                <w:szCs w:val="30"/>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top"/>
          </w:tcPr>
          <w:p>
            <w:pPr>
              <w:widowControl/>
              <w:textAlignment w:val="baseline"/>
            </w:pPr>
          </w:p>
        </w:tc>
        <w:tc>
          <w:tcPr>
            <w:tcW w:w="4530" w:type="dxa"/>
            <w:tcBorders>
              <w:top w:val="single" w:color="auto" w:sz="8" w:space="0"/>
              <w:bottom w:val="single" w:color="auto" w:sz="8" w:space="0"/>
            </w:tcBorders>
            <w:vAlign w:val="bottom"/>
          </w:tcPr>
          <w:p>
            <w:pPr>
              <w:widowControl/>
              <w:textAlignment w:val="baseline"/>
            </w:pPr>
            <w:r>
              <w:rPr>
                <w:rFonts w:eastAsia="方正楷体_GBK"/>
                <w:sz w:val="30"/>
                <w:szCs w:val="3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rPr>
                <w:rFonts w:hint="eastAsia" w:eastAsia="方正黑体_GBK"/>
                <w:szCs w:val="32"/>
              </w:rPr>
            </w:pPr>
            <w:r>
              <w:rPr>
                <w:rFonts w:hint="eastAsia" w:eastAsia="方正黑体_GBK"/>
                <w:szCs w:val="32"/>
              </w:rPr>
              <w:t>填表时间</w:t>
            </w:r>
          </w:p>
        </w:tc>
        <w:tc>
          <w:tcPr>
            <w:tcW w:w="4530" w:type="dxa"/>
            <w:tcBorders>
              <w:top w:val="single" w:color="auto" w:sz="8" w:space="0"/>
              <w:bottom w:val="single" w:color="auto" w:sz="8" w:space="0"/>
            </w:tcBorders>
            <w:vAlign w:val="bottom"/>
          </w:tcPr>
          <w:p>
            <w:pPr>
              <w:widowControl/>
              <w:textAlignment w:val="baseline"/>
              <w:rPr>
                <w:rFonts w:eastAsia="方正楷体_GBK"/>
                <w:sz w:val="30"/>
                <w:szCs w:val="30"/>
              </w:rPr>
            </w:pPr>
          </w:p>
        </w:tc>
      </w:tr>
    </w:tbl>
    <w:p>
      <w:pPr>
        <w:rPr>
          <w:rFonts w:hint="default" w:eastAsia="黑体"/>
          <w:sz w:val="30"/>
          <w:szCs w:val="30"/>
        </w:rPr>
      </w:pPr>
    </w:p>
    <w:p>
      <w:pPr>
        <w:widowControl/>
        <w:spacing w:line="360" w:lineRule="auto"/>
        <w:jc w:val="center"/>
        <w:textAlignment w:val="baseline"/>
        <w:rPr>
          <w:rFonts w:ascii="Times New Roman" w:eastAsia="方正楷体_GBK"/>
          <w:sz w:val="36"/>
          <w:szCs w:val="36"/>
        </w:rPr>
      </w:pPr>
    </w:p>
    <w:p>
      <w:pPr>
        <w:widowControl/>
        <w:jc w:val="center"/>
        <w:textAlignment w:val="baseline"/>
        <w:rPr>
          <w:rFonts w:hint="default" w:ascii="Times New Roman" w:eastAsia="方正楷体_GBK"/>
          <w:sz w:val="36"/>
          <w:szCs w:val="36"/>
        </w:rPr>
      </w:pPr>
      <w:r>
        <w:rPr>
          <w:rFonts w:hint="default" w:ascii="Times New Roman" w:eastAsia="方正楷体_GBK"/>
          <w:sz w:val="36"/>
          <w:szCs w:val="36"/>
        </w:rPr>
        <w:t>江苏省人力资源</w:t>
      </w:r>
      <w:r>
        <w:rPr>
          <w:rFonts w:hint="eastAsia" w:eastAsia="方正楷体_GBK"/>
          <w:sz w:val="36"/>
          <w:szCs w:val="36"/>
        </w:rPr>
        <w:t>和</w:t>
      </w:r>
      <w:r>
        <w:rPr>
          <w:rFonts w:hint="default" w:ascii="Times New Roman" w:eastAsia="方正楷体_GBK"/>
          <w:sz w:val="36"/>
          <w:szCs w:val="36"/>
        </w:rPr>
        <w:t>社会保障厅 制</w:t>
      </w:r>
    </w:p>
    <w:p>
      <w:pPr>
        <w:widowControl/>
        <w:jc w:val="center"/>
        <w:textAlignment w:val="baseline"/>
        <w:rPr>
          <w:rFonts w:ascii="Times New Roman" w:eastAsia="方正楷体_GBK"/>
          <w:sz w:val="36"/>
          <w:szCs w:val="36"/>
        </w:rPr>
      </w:pPr>
      <w:r>
        <w:rPr>
          <w:rFonts w:ascii="Times New Roman" w:eastAsia="方正楷体_GBK"/>
          <w:sz w:val="36"/>
          <w:szCs w:val="36"/>
        </w:rPr>
        <w:t>2021年</w:t>
      </w:r>
    </w:p>
    <w:p/>
    <w:p>
      <w:pPr>
        <w:widowControl/>
        <w:spacing w:line="590" w:lineRule="exact"/>
        <w:jc w:val="center"/>
        <w:textAlignment w:val="baseline"/>
        <w:rPr>
          <w:rFonts w:hint="default" w:ascii="Times New Roman" w:eastAsia="方正黑体_GBK"/>
          <w:szCs w:val="32"/>
        </w:rPr>
      </w:pPr>
    </w:p>
    <w:p>
      <w:pPr>
        <w:widowControl/>
        <w:spacing w:line="590" w:lineRule="exact"/>
        <w:jc w:val="center"/>
        <w:textAlignment w:val="baseline"/>
        <w:rPr>
          <w:rFonts w:ascii="Times New Roman" w:eastAsia="方正小标宋_GBK"/>
          <w:sz w:val="44"/>
          <w:szCs w:val="44"/>
        </w:rPr>
      </w:pPr>
      <w:r>
        <w:rPr>
          <w:rFonts w:ascii="Times New Roman" w:eastAsia="方正小标宋_GBK"/>
          <w:sz w:val="44"/>
          <w:szCs w:val="44"/>
        </w:rPr>
        <w:t>填报说明</w:t>
      </w:r>
    </w:p>
    <w:p>
      <w:pPr>
        <w:widowControl/>
        <w:spacing w:line="590" w:lineRule="exact"/>
        <w:jc w:val="center"/>
        <w:textAlignment w:val="baseline"/>
        <w:rPr>
          <w:rFonts w:ascii="Times New Roman" w:eastAsia="方正黑体_GBK"/>
          <w:szCs w:val="32"/>
        </w:rPr>
      </w:pPr>
    </w:p>
    <w:p>
      <w:pPr>
        <w:widowControl/>
        <w:spacing w:line="550" w:lineRule="exact"/>
        <w:ind w:firstLine="640" w:firstLineChars="200"/>
        <w:textAlignment w:val="baseline"/>
        <w:rPr>
          <w:bCs/>
          <w:sz w:val="32"/>
          <w:szCs w:val="32"/>
        </w:rPr>
      </w:pPr>
      <w:r>
        <w:rPr>
          <w:bCs/>
          <w:sz w:val="32"/>
          <w:szCs w:val="32"/>
        </w:rPr>
        <w:t>1．学校类型：公办、企业办、民办技工院校；</w:t>
      </w:r>
    </w:p>
    <w:p>
      <w:pPr>
        <w:widowControl/>
        <w:spacing w:line="550" w:lineRule="exact"/>
        <w:ind w:firstLine="640" w:firstLineChars="200"/>
        <w:textAlignment w:val="baseline"/>
        <w:rPr>
          <w:bCs/>
          <w:sz w:val="32"/>
          <w:szCs w:val="32"/>
        </w:rPr>
      </w:pPr>
      <w:r>
        <w:rPr>
          <w:bCs/>
          <w:sz w:val="32"/>
          <w:szCs w:val="32"/>
        </w:rPr>
        <w:t>2．教学行政用房面积：包括办公、教室、实验实训场所、图书馆、体育馆（风雨操场）、会堂等的面积；</w:t>
      </w:r>
    </w:p>
    <w:p>
      <w:pPr>
        <w:widowControl/>
        <w:spacing w:line="550" w:lineRule="exact"/>
        <w:ind w:firstLine="640" w:firstLineChars="200"/>
        <w:textAlignment w:val="baseline"/>
        <w:rPr>
          <w:bCs/>
          <w:sz w:val="32"/>
          <w:szCs w:val="32"/>
        </w:rPr>
      </w:pPr>
      <w:r>
        <w:rPr>
          <w:bCs/>
          <w:sz w:val="32"/>
          <w:szCs w:val="32"/>
        </w:rPr>
        <w:t>3．自筹经费：包括专项经费、社会培训、技术服务等收入费用；</w:t>
      </w:r>
    </w:p>
    <w:p>
      <w:pPr>
        <w:widowControl/>
        <w:spacing w:line="550" w:lineRule="exact"/>
        <w:ind w:firstLine="640" w:firstLineChars="200"/>
        <w:textAlignment w:val="baseline"/>
        <w:rPr>
          <w:bCs/>
          <w:sz w:val="32"/>
          <w:szCs w:val="32"/>
        </w:rPr>
      </w:pPr>
      <w:r>
        <w:rPr>
          <w:bCs/>
          <w:sz w:val="32"/>
          <w:szCs w:val="32"/>
        </w:rPr>
        <w:t>4．兼职教师：指正式聘任来校授课的行业、企业及社会中的专业技术人员和能工巧匠，按年承担教学任务160学时折算为1人标准计算；</w:t>
      </w:r>
    </w:p>
    <w:p>
      <w:pPr>
        <w:widowControl/>
        <w:spacing w:line="550" w:lineRule="exact"/>
        <w:ind w:firstLine="640" w:firstLineChars="200"/>
        <w:textAlignment w:val="baseline"/>
        <w:rPr>
          <w:bCs/>
          <w:sz w:val="32"/>
          <w:szCs w:val="32"/>
        </w:rPr>
      </w:pPr>
      <w:r>
        <w:rPr>
          <w:bCs/>
          <w:sz w:val="32"/>
          <w:szCs w:val="32"/>
        </w:rPr>
        <w:t xml:space="preserve">5．教学仪器设备：单价在1000元以上的用于教学的仪器设备； </w:t>
      </w:r>
    </w:p>
    <w:p>
      <w:pPr>
        <w:widowControl/>
        <w:spacing w:line="550" w:lineRule="exact"/>
        <w:ind w:firstLine="640" w:firstLineChars="200"/>
        <w:textAlignment w:val="baseline"/>
        <w:rPr>
          <w:bCs/>
          <w:sz w:val="32"/>
          <w:szCs w:val="32"/>
        </w:rPr>
      </w:pPr>
      <w:r>
        <w:rPr>
          <w:bCs/>
          <w:sz w:val="32"/>
          <w:szCs w:val="32"/>
        </w:rPr>
        <w:t xml:space="preserve">6．大型教学仪器设备：单价高于5万元的用于教学的仪器设备； </w:t>
      </w:r>
    </w:p>
    <w:p>
      <w:pPr>
        <w:widowControl/>
        <w:spacing w:line="550" w:lineRule="exact"/>
        <w:ind w:firstLine="640" w:firstLineChars="200"/>
        <w:textAlignment w:val="baseline"/>
        <w:rPr>
          <w:bCs/>
          <w:sz w:val="32"/>
          <w:szCs w:val="32"/>
        </w:rPr>
      </w:pPr>
      <w:r>
        <w:rPr>
          <w:bCs/>
          <w:sz w:val="32"/>
          <w:szCs w:val="32"/>
        </w:rPr>
        <w:t>7．省级以上重点专业：指省级示范专业、重点专业；</w:t>
      </w:r>
    </w:p>
    <w:p>
      <w:pPr>
        <w:widowControl/>
        <w:spacing w:line="550" w:lineRule="exact"/>
        <w:ind w:firstLine="640" w:firstLineChars="200"/>
        <w:textAlignment w:val="baseline"/>
        <w:rPr>
          <w:bCs/>
          <w:sz w:val="32"/>
          <w:szCs w:val="32"/>
        </w:rPr>
      </w:pPr>
      <w:r>
        <w:rPr>
          <w:rFonts w:eastAsia="方正黑体_GBK"/>
          <w:bCs/>
          <w:sz w:val="32"/>
          <w:szCs w:val="32"/>
        </w:rPr>
        <w:t>注：</w:t>
      </w:r>
      <w:r>
        <w:rPr>
          <w:bCs/>
          <w:sz w:val="32"/>
          <w:szCs w:val="32"/>
        </w:rPr>
        <w:t>申报学校应如实填写本表各项数据，如有弄虚作假将取消评审资格。</w:t>
      </w:r>
    </w:p>
    <w:p/>
    <w:p>
      <w:pPr>
        <w:widowControl/>
        <w:snapToGrid w:val="0"/>
        <w:spacing w:line="240" w:lineRule="auto"/>
        <w:jc w:val="left"/>
        <w:textAlignment w:val="baseline"/>
        <w:rPr>
          <w:rFonts w:eastAsia="方正黑体_GBK"/>
          <w:bCs/>
          <w:sz w:val="32"/>
          <w:szCs w:val="32"/>
        </w:rPr>
      </w:pPr>
      <w:r>
        <w:rPr>
          <w:rFonts w:eastAsia="方正黑体_GBK"/>
          <w:bCs/>
          <w:szCs w:val="32"/>
        </w:rPr>
        <w:br w:type="page"/>
      </w:r>
      <w:r>
        <w:rPr>
          <w:rFonts w:eastAsia="方正黑体_GBK"/>
          <w:bCs/>
          <w:sz w:val="32"/>
          <w:szCs w:val="32"/>
        </w:rPr>
        <w:t>一、申报学校基本情况</w:t>
      </w:r>
    </w:p>
    <w:tbl>
      <w:tblPr>
        <w:tblStyle w:val="6"/>
        <w:tblW w:w="8822" w:type="dxa"/>
        <w:jc w:val="center"/>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74"/>
        <w:gridCol w:w="1319"/>
        <w:gridCol w:w="1638"/>
        <w:gridCol w:w="993"/>
        <w:gridCol w:w="911"/>
        <w:gridCol w:w="854"/>
        <w:gridCol w:w="839"/>
        <w:gridCol w:w="855"/>
        <w:gridCol w:w="83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831" w:hRule="exact"/>
          <w:jc w:val="center"/>
        </w:trPr>
        <w:tc>
          <w:tcPr>
            <w:tcW w:w="574" w:type="dxa"/>
            <w:vMerge w:val="restart"/>
            <w:textDirection w:val="tbRlV"/>
            <w:vAlign w:val="center"/>
          </w:tcPr>
          <w:p/>
          <w:p>
            <w:pPr>
              <w:widowControl/>
              <w:snapToGrid w:val="0"/>
              <w:spacing w:line="280" w:lineRule="exact"/>
              <w:ind w:left="113" w:right="113"/>
              <w:jc w:val="center"/>
              <w:textAlignment w:val="baseline"/>
              <w:rPr>
                <w:rFonts w:hint="default" w:ascii="Times New Roman" w:hAnsi="Times New Roman" w:eastAsia="宋体" w:cs="Times New Roman"/>
                <w:b w:val="0"/>
                <w:bCs/>
                <w:position w:val="0"/>
                <w:sz w:val="21"/>
                <w:szCs w:val="21"/>
              </w:rPr>
            </w:pPr>
            <w:r>
              <w:rPr>
                <w:rFonts w:hint="default" w:ascii="Times New Roman" w:hAnsi="宋体" w:eastAsia="宋体" w:cs="Times New Roman"/>
                <w:b w:val="0"/>
                <w:position w:val="0"/>
                <w:sz w:val="21"/>
                <w:szCs w:val="21"/>
              </w:rPr>
              <w:t>基本信息</w:t>
            </w:r>
          </w:p>
        </w:tc>
        <w:tc>
          <w:tcPr>
            <w:tcW w:w="1319"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学校名称</w:t>
            </w:r>
          </w:p>
        </w:tc>
        <w:tc>
          <w:tcPr>
            <w:tcW w:w="6929" w:type="dxa"/>
            <w:gridSpan w:val="7"/>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textDirection w:val="tbRlV"/>
            <w:vAlign w:val="center"/>
          </w:tcPr>
          <w:p>
            <w:pPr>
              <w:widowControl/>
              <w:snapToGrid w:val="0"/>
              <w:spacing w:line="280" w:lineRule="exact"/>
              <w:ind w:left="113" w:right="113"/>
              <w:jc w:val="center"/>
              <w:textAlignment w:val="baseline"/>
              <w:rPr>
                <w:rFonts w:hint="default" w:ascii="Times New Roman" w:hAnsi="Times New Roman" w:eastAsia="宋体" w:cs="Times New Roman"/>
                <w:b w:val="0"/>
                <w:bCs/>
                <w:position w:val="0"/>
                <w:sz w:val="21"/>
                <w:szCs w:val="21"/>
              </w:rPr>
            </w:pPr>
          </w:p>
        </w:tc>
        <w:tc>
          <w:tcPr>
            <w:tcW w:w="1319" w:type="dxa"/>
            <w:vMerge w:val="restart"/>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举</w:t>
            </w:r>
            <w:r>
              <w:rPr>
                <w:rFonts w:hint="default" w:ascii="Times New Roman" w:hAnsi="Times New Roman" w:eastAsia="宋体" w:cs="Times New Roman"/>
                <w:sz w:val="21"/>
                <w:szCs w:val="21"/>
              </w:rPr>
              <w:t xml:space="preserve"> </w:t>
            </w:r>
            <w:r>
              <w:rPr>
                <w:rFonts w:hint="default" w:ascii="Times New Roman" w:hAnsi="宋体" w:eastAsia="宋体" w:cs="Times New Roman"/>
                <w:sz w:val="21"/>
                <w:szCs w:val="21"/>
              </w:rPr>
              <w:t>办</w:t>
            </w:r>
            <w:r>
              <w:rPr>
                <w:rFonts w:hint="default" w:ascii="Times New Roman" w:hAnsi="Times New Roman" w:eastAsia="宋体" w:cs="Times New Roman"/>
                <w:sz w:val="21"/>
                <w:szCs w:val="21"/>
              </w:rPr>
              <w:t xml:space="preserve"> </w:t>
            </w:r>
            <w:r>
              <w:rPr>
                <w:rFonts w:hint="default" w:ascii="Times New Roman" w:hAnsi="宋体" w:eastAsia="宋体" w:cs="Times New Roman"/>
                <w:sz w:val="21"/>
                <w:szCs w:val="21"/>
              </w:rPr>
              <w:t>方</w:t>
            </w:r>
          </w:p>
        </w:tc>
        <w:tc>
          <w:tcPr>
            <w:tcW w:w="2631" w:type="dxa"/>
            <w:gridSpan w:val="2"/>
            <w:vMerge w:val="restart"/>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7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全日制在校学生（人）</w:t>
            </w:r>
          </w:p>
        </w:tc>
        <w:tc>
          <w:tcPr>
            <w:tcW w:w="2533"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textDirection w:val="tbRlV"/>
            <w:vAlign w:val="center"/>
          </w:tcPr>
          <w:p>
            <w:pPr>
              <w:widowControl/>
              <w:snapToGrid w:val="0"/>
              <w:spacing w:line="280" w:lineRule="exact"/>
              <w:ind w:left="113" w:right="113"/>
              <w:jc w:val="center"/>
              <w:textAlignment w:val="baseline"/>
              <w:rPr>
                <w:rFonts w:hint="default" w:ascii="Times New Roman" w:hAnsi="Times New Roman" w:eastAsia="宋体" w:cs="Times New Roman"/>
                <w:b w:val="0"/>
                <w:bCs/>
                <w:position w:val="0"/>
                <w:sz w:val="21"/>
                <w:szCs w:val="21"/>
              </w:rPr>
            </w:pPr>
          </w:p>
        </w:tc>
        <w:tc>
          <w:tcPr>
            <w:tcW w:w="1319"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2631" w:type="dxa"/>
            <w:gridSpan w:val="2"/>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7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学校类型</w:t>
            </w:r>
          </w:p>
        </w:tc>
        <w:tc>
          <w:tcPr>
            <w:tcW w:w="2533"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601" w:hRule="exact"/>
          <w:jc w:val="center"/>
        </w:trPr>
        <w:tc>
          <w:tcPr>
            <w:tcW w:w="574" w:type="dxa"/>
            <w:vMerge w:val="continue"/>
            <w:textDirection w:val="tbRlV"/>
            <w:vAlign w:val="center"/>
          </w:tcPr>
          <w:p>
            <w:pPr>
              <w:widowControl/>
              <w:snapToGrid w:val="0"/>
              <w:spacing w:line="280" w:lineRule="exact"/>
              <w:ind w:left="113" w:right="113"/>
              <w:jc w:val="center"/>
              <w:textAlignment w:val="baseline"/>
              <w:rPr>
                <w:rFonts w:hint="default" w:ascii="Times New Roman" w:hAnsi="Times New Roman" w:eastAsia="宋体" w:cs="Times New Roman"/>
                <w:b w:val="0"/>
                <w:bCs/>
                <w:position w:val="0"/>
                <w:sz w:val="21"/>
                <w:szCs w:val="21"/>
              </w:rPr>
            </w:pPr>
          </w:p>
        </w:tc>
        <w:tc>
          <w:tcPr>
            <w:tcW w:w="1319"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通信地址</w:t>
            </w:r>
          </w:p>
        </w:tc>
        <w:tc>
          <w:tcPr>
            <w:tcW w:w="6929" w:type="dxa"/>
            <w:gridSpan w:val="7"/>
            <w:vAlign w:val="center"/>
          </w:tcPr>
          <w:p/>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textDirection w:val="tbRlV"/>
            <w:vAlign w:val="center"/>
          </w:tcPr>
          <w:p>
            <w:pPr>
              <w:widowControl/>
              <w:snapToGrid w:val="0"/>
              <w:spacing w:line="280" w:lineRule="exact"/>
              <w:ind w:left="113" w:right="113"/>
              <w:jc w:val="center"/>
              <w:textAlignment w:val="baseline"/>
              <w:rPr>
                <w:rFonts w:hint="default" w:ascii="Times New Roman" w:hAnsi="Times New Roman" w:eastAsia="宋体" w:cs="Times New Roman"/>
                <w:b w:val="0"/>
                <w:bCs/>
                <w:position w:val="0"/>
                <w:sz w:val="21"/>
                <w:szCs w:val="21"/>
              </w:rPr>
            </w:pPr>
          </w:p>
        </w:tc>
        <w:tc>
          <w:tcPr>
            <w:tcW w:w="1319" w:type="dxa"/>
            <w:vMerge w:val="restart"/>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项目负责人</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信息</w:t>
            </w:r>
          </w:p>
        </w:tc>
        <w:tc>
          <w:tcPr>
            <w:tcW w:w="1638"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姓</w:t>
            </w:r>
            <w:r>
              <w:rPr>
                <w:rFonts w:hint="default" w:ascii="Times New Roman" w:hAnsi="Times New Roman" w:eastAsia="宋体" w:cs="Times New Roman"/>
                <w:sz w:val="21"/>
                <w:szCs w:val="21"/>
              </w:rPr>
              <w:t xml:space="preserve">      </w:t>
            </w:r>
            <w:r>
              <w:rPr>
                <w:rFonts w:hint="default" w:ascii="Times New Roman" w:hAnsi="宋体" w:eastAsia="宋体" w:cs="Times New Roman"/>
                <w:sz w:val="21"/>
                <w:szCs w:val="21"/>
              </w:rPr>
              <w:t>名</w:t>
            </w:r>
          </w:p>
        </w:tc>
        <w:tc>
          <w:tcPr>
            <w:tcW w:w="99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7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职务职称</w:t>
            </w:r>
          </w:p>
        </w:tc>
        <w:tc>
          <w:tcPr>
            <w:tcW w:w="2533" w:type="dxa"/>
            <w:gridSpan w:val="3"/>
            <w:vAlign w:val="center"/>
          </w:tcPr>
          <w:p>
            <w:pPr>
              <w:widowControl/>
              <w:snapToGrid w:val="0"/>
              <w:spacing w:line="240" w:lineRule="exact"/>
              <w:jc w:val="center"/>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textDirection w:val="tbRlV"/>
            <w:vAlign w:val="center"/>
          </w:tcPr>
          <w:p>
            <w:pPr>
              <w:widowControl/>
              <w:snapToGrid w:val="0"/>
              <w:spacing w:line="280" w:lineRule="exact"/>
              <w:ind w:left="113" w:right="113"/>
              <w:jc w:val="center"/>
              <w:textAlignment w:val="baseline"/>
              <w:rPr>
                <w:rFonts w:hint="default" w:ascii="Times New Roman" w:hAnsi="Times New Roman" w:eastAsia="宋体" w:cs="Times New Roman"/>
                <w:b w:val="0"/>
                <w:bCs/>
                <w:position w:val="0"/>
                <w:sz w:val="21"/>
                <w:szCs w:val="21"/>
              </w:rPr>
            </w:pPr>
          </w:p>
        </w:tc>
        <w:tc>
          <w:tcPr>
            <w:tcW w:w="1319"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638"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办公室电话</w:t>
            </w:r>
          </w:p>
        </w:tc>
        <w:tc>
          <w:tcPr>
            <w:tcW w:w="99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765"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传</w:t>
            </w:r>
            <w:r>
              <w:rPr>
                <w:rFonts w:hint="default" w:ascii="Times New Roman" w:hAnsi="Times New Roman" w:eastAsia="宋体" w:cs="Times New Roman"/>
                <w:sz w:val="21"/>
                <w:szCs w:val="21"/>
              </w:rPr>
              <w:t xml:space="preserve">  </w:t>
            </w:r>
            <w:r>
              <w:rPr>
                <w:rFonts w:hint="default" w:ascii="Times New Roman" w:hAnsi="宋体" w:eastAsia="宋体" w:cs="Times New Roman"/>
                <w:sz w:val="21"/>
                <w:szCs w:val="21"/>
              </w:rPr>
              <w:t>真</w:t>
            </w:r>
          </w:p>
        </w:tc>
        <w:tc>
          <w:tcPr>
            <w:tcW w:w="2533" w:type="dxa"/>
            <w:gridSpan w:val="3"/>
            <w:vAlign w:val="center"/>
          </w:tcPr>
          <w:p>
            <w:pPr>
              <w:widowControl/>
              <w:snapToGrid w:val="0"/>
              <w:spacing w:line="240" w:lineRule="exact"/>
              <w:jc w:val="center"/>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textDirection w:val="tbRlV"/>
            <w:vAlign w:val="center"/>
          </w:tcPr>
          <w:p>
            <w:pPr>
              <w:widowControl/>
              <w:snapToGrid w:val="0"/>
              <w:spacing w:line="280" w:lineRule="exact"/>
              <w:ind w:left="113" w:right="113"/>
              <w:jc w:val="center"/>
              <w:textAlignment w:val="baseline"/>
              <w:rPr>
                <w:rFonts w:hint="default" w:ascii="Times New Roman" w:hAnsi="Times New Roman" w:eastAsia="宋体" w:cs="Times New Roman"/>
                <w:b w:val="0"/>
                <w:bCs/>
                <w:position w:val="0"/>
                <w:sz w:val="21"/>
                <w:szCs w:val="21"/>
              </w:rPr>
            </w:pPr>
          </w:p>
        </w:tc>
        <w:tc>
          <w:tcPr>
            <w:tcW w:w="1319" w:type="dxa"/>
            <w:vMerge w:val="continue"/>
            <w:vAlign w:val="center"/>
          </w:tcPr>
          <w:p>
            <w:pPr>
              <w:widowControl/>
              <w:snapToGrid w:val="0"/>
              <w:spacing w:line="240" w:lineRule="exact"/>
              <w:jc w:val="center"/>
              <w:textAlignment w:val="baseline"/>
              <w:rPr>
                <w:rFonts w:eastAsia="宋体"/>
                <w:sz w:val="21"/>
                <w:szCs w:val="21"/>
              </w:rPr>
            </w:pPr>
          </w:p>
        </w:tc>
        <w:tc>
          <w:tcPr>
            <w:tcW w:w="1638"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手</w:t>
            </w:r>
            <w:r>
              <w:rPr>
                <w:rFonts w:hint="default" w:ascii="Times New Roman" w:hAnsi="Times New Roman" w:eastAsia="宋体" w:cs="Times New Roman"/>
                <w:sz w:val="21"/>
                <w:szCs w:val="21"/>
              </w:rPr>
              <w:t xml:space="preserve">      </w:t>
            </w:r>
            <w:r>
              <w:rPr>
                <w:rFonts w:hint="default" w:ascii="Times New Roman" w:hAnsi="宋体" w:eastAsia="宋体" w:cs="Times New Roman"/>
                <w:sz w:val="21"/>
                <w:szCs w:val="21"/>
              </w:rPr>
              <w:t>机</w:t>
            </w:r>
          </w:p>
        </w:tc>
        <w:tc>
          <w:tcPr>
            <w:tcW w:w="993" w:type="dxa"/>
            <w:vAlign w:val="center"/>
          </w:tcPr>
          <w:p>
            <w:pPr>
              <w:widowControl/>
              <w:snapToGrid w:val="0"/>
              <w:spacing w:line="240" w:lineRule="exact"/>
              <w:jc w:val="center"/>
              <w:textAlignment w:val="baseline"/>
              <w:rPr>
                <w:rFonts w:eastAsia="宋体"/>
                <w:sz w:val="21"/>
                <w:szCs w:val="21"/>
              </w:rPr>
            </w:pPr>
          </w:p>
        </w:tc>
        <w:tc>
          <w:tcPr>
            <w:tcW w:w="1765" w:type="dxa"/>
            <w:gridSpan w:val="2"/>
            <w:vAlign w:val="center"/>
          </w:tcPr>
          <w:p>
            <w:pPr>
              <w:widowControl/>
              <w:snapToGrid w:val="0"/>
              <w:spacing w:line="240" w:lineRule="exact"/>
              <w:jc w:val="center"/>
              <w:textAlignment w:val="baseline"/>
              <w:rPr>
                <w:rFonts w:eastAsia="宋体"/>
                <w:sz w:val="21"/>
                <w:szCs w:val="21"/>
              </w:rPr>
            </w:pPr>
            <w:r>
              <w:rPr>
                <w:rFonts w:eastAsia="宋体"/>
                <w:sz w:val="21"/>
                <w:szCs w:val="21"/>
              </w:rPr>
              <w:t>E-mail</w:t>
            </w:r>
          </w:p>
        </w:tc>
        <w:tc>
          <w:tcPr>
            <w:tcW w:w="2533" w:type="dxa"/>
            <w:gridSpan w:val="3"/>
            <w:vAlign w:val="center"/>
          </w:tcPr>
          <w:p>
            <w:pPr>
              <w:widowControl/>
              <w:snapToGrid w:val="0"/>
              <w:spacing w:line="240" w:lineRule="exact"/>
              <w:jc w:val="center"/>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restart"/>
            <w:textDirection w:val="tbRlV"/>
            <w:vAlign w:val="center"/>
          </w:tcPr>
          <w:p>
            <w:pPr>
              <w:widowControl/>
              <w:snapToGrid w:val="0"/>
              <w:spacing w:line="280" w:lineRule="exact"/>
              <w:ind w:left="113" w:right="113"/>
              <w:jc w:val="center"/>
              <w:textAlignment w:val="baseline"/>
              <w:rPr>
                <w:rFonts w:hint="default" w:ascii="Times New Roman" w:hAnsi="Times New Roman" w:eastAsia="宋体" w:cs="Times New Roman"/>
                <w:b w:val="0"/>
                <w:bCs/>
                <w:position w:val="0"/>
                <w:sz w:val="21"/>
                <w:szCs w:val="21"/>
              </w:rPr>
            </w:pPr>
            <w:r>
              <w:rPr>
                <w:rFonts w:hint="default" w:ascii="Times New Roman" w:hAnsi="宋体" w:eastAsia="宋体" w:cs="Times New Roman"/>
                <w:b w:val="0"/>
                <w:position w:val="0"/>
                <w:sz w:val="21"/>
                <w:szCs w:val="21"/>
              </w:rPr>
              <w:t>面积与仪器</w:t>
            </w:r>
          </w:p>
        </w:tc>
        <w:tc>
          <w:tcPr>
            <w:tcW w:w="295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学校占地面积（亩）</w:t>
            </w:r>
          </w:p>
        </w:tc>
        <w:tc>
          <w:tcPr>
            <w:tcW w:w="99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3459" w:type="dxa"/>
            <w:gridSpan w:val="4"/>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总建筑面积（平方米）</w:t>
            </w:r>
          </w:p>
        </w:tc>
        <w:tc>
          <w:tcPr>
            <w:tcW w:w="839" w:type="dxa"/>
            <w:vAlign w:val="center"/>
          </w:tcPr>
          <w:p>
            <w:pPr>
              <w:widowControl/>
              <w:snapToGrid w:val="0"/>
              <w:spacing w:line="240" w:lineRule="exact"/>
              <w:jc w:val="center"/>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hint="default" w:ascii="Times New Roman" w:hAnsi="Times New Roman" w:eastAsia="宋体" w:cs="Times New Roman"/>
                <w:b w:val="0"/>
                <w:bCs/>
                <w:position w:val="0"/>
                <w:sz w:val="21"/>
                <w:szCs w:val="21"/>
              </w:rPr>
            </w:pPr>
          </w:p>
        </w:tc>
        <w:tc>
          <w:tcPr>
            <w:tcW w:w="295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校舍建筑面积（平方米）</w:t>
            </w:r>
          </w:p>
        </w:tc>
        <w:tc>
          <w:tcPr>
            <w:tcW w:w="99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3459" w:type="dxa"/>
            <w:gridSpan w:val="4"/>
            <w:vAlign w:val="center"/>
          </w:tcPr>
          <w:p>
            <w:pPr>
              <w:widowControl/>
              <w:snapToGrid w:val="0"/>
              <w:spacing w:line="240" w:lineRule="exact"/>
              <w:jc w:val="center"/>
              <w:textAlignment w:val="baseline"/>
              <w:rPr>
                <w:rFonts w:hint="default" w:ascii="Times New Roman" w:hAnsi="Times New Roman" w:eastAsia="宋体" w:cs="Times New Roman"/>
                <w:w w:val="100"/>
                <w:sz w:val="21"/>
                <w:szCs w:val="21"/>
              </w:rPr>
            </w:pPr>
            <w:r>
              <w:rPr>
                <w:rFonts w:hint="default" w:ascii="Times New Roman" w:hAnsi="宋体" w:eastAsia="宋体" w:cs="Times New Roman"/>
                <w:sz w:val="21"/>
                <w:szCs w:val="21"/>
              </w:rPr>
              <w:t>教学行政用房面积（平方米）</w:t>
            </w:r>
          </w:p>
        </w:tc>
        <w:tc>
          <w:tcPr>
            <w:tcW w:w="839" w:type="dxa"/>
            <w:vAlign w:val="center"/>
          </w:tcPr>
          <w:p>
            <w:pPr>
              <w:widowControl/>
              <w:snapToGrid w:val="0"/>
              <w:spacing w:line="240" w:lineRule="exact"/>
              <w:jc w:val="center"/>
              <w:textAlignment w:val="baseline"/>
              <w:rPr>
                <w:rFonts w:eastAsia="宋体"/>
                <w:w w:val="1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hint="default" w:ascii="Times New Roman" w:hAnsi="Times New Roman" w:eastAsia="宋体" w:cs="Times New Roman"/>
                <w:b w:val="0"/>
                <w:bCs/>
                <w:position w:val="0"/>
                <w:sz w:val="21"/>
                <w:szCs w:val="21"/>
              </w:rPr>
            </w:pPr>
          </w:p>
        </w:tc>
        <w:tc>
          <w:tcPr>
            <w:tcW w:w="295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实验实训场所占地面积</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（平方米）</w:t>
            </w:r>
          </w:p>
        </w:tc>
        <w:tc>
          <w:tcPr>
            <w:tcW w:w="99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3459" w:type="dxa"/>
            <w:gridSpan w:val="4"/>
            <w:vAlign w:val="center"/>
          </w:tcPr>
          <w:p>
            <w:pPr>
              <w:widowControl/>
              <w:snapToGrid w:val="0"/>
              <w:spacing w:line="240" w:lineRule="exact"/>
              <w:jc w:val="center"/>
              <w:textAlignment w:val="baseline"/>
              <w:rPr>
                <w:rFonts w:hint="default" w:ascii="Times New Roman" w:hAnsi="Times New Roman" w:eastAsia="宋体" w:cs="Times New Roman"/>
                <w:w w:val="100"/>
                <w:sz w:val="21"/>
                <w:szCs w:val="21"/>
              </w:rPr>
            </w:pPr>
            <w:r>
              <w:rPr>
                <w:rFonts w:hint="default" w:ascii="Times New Roman" w:hAnsi="宋体" w:eastAsia="宋体" w:cs="Times New Roman"/>
                <w:sz w:val="21"/>
                <w:szCs w:val="21"/>
              </w:rPr>
              <w:t>实验实训场所建筑面积（平方米）</w:t>
            </w:r>
          </w:p>
        </w:tc>
        <w:tc>
          <w:tcPr>
            <w:tcW w:w="839" w:type="dxa"/>
            <w:vAlign w:val="center"/>
          </w:tcPr>
          <w:p>
            <w:pPr>
              <w:widowControl/>
              <w:snapToGrid w:val="0"/>
              <w:spacing w:line="240" w:lineRule="exact"/>
              <w:jc w:val="center"/>
              <w:textAlignment w:val="baseline"/>
              <w:rPr>
                <w:rFonts w:eastAsia="宋体"/>
                <w:w w:val="1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hint="default" w:ascii="Times New Roman" w:hAnsi="Times New Roman" w:eastAsia="宋体" w:cs="Times New Roman"/>
                <w:b w:val="0"/>
                <w:bCs/>
                <w:position w:val="0"/>
                <w:sz w:val="21"/>
                <w:szCs w:val="21"/>
              </w:rPr>
            </w:pPr>
          </w:p>
        </w:tc>
        <w:tc>
          <w:tcPr>
            <w:tcW w:w="1319" w:type="dxa"/>
            <w:vMerge w:val="restart"/>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教学仪器设备</w:t>
            </w:r>
          </w:p>
        </w:tc>
        <w:tc>
          <w:tcPr>
            <w:tcW w:w="1638"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总值（万元）</w:t>
            </w:r>
          </w:p>
        </w:tc>
        <w:tc>
          <w:tcPr>
            <w:tcW w:w="99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765" w:type="dxa"/>
            <w:gridSpan w:val="2"/>
            <w:vMerge w:val="restart"/>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大型教学</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仪器设备</w:t>
            </w:r>
          </w:p>
        </w:tc>
        <w:tc>
          <w:tcPr>
            <w:tcW w:w="1694"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数量（台／套）</w:t>
            </w:r>
          </w:p>
        </w:tc>
        <w:tc>
          <w:tcPr>
            <w:tcW w:w="839"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hint="default" w:ascii="Times New Roman" w:hAnsi="Times New Roman" w:eastAsia="宋体" w:cs="Times New Roman"/>
                <w:b w:val="0"/>
                <w:bCs/>
                <w:position w:val="0"/>
                <w:sz w:val="21"/>
                <w:szCs w:val="21"/>
              </w:rPr>
            </w:pPr>
          </w:p>
        </w:tc>
        <w:tc>
          <w:tcPr>
            <w:tcW w:w="1319" w:type="dxa"/>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638"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生均（元）</w:t>
            </w:r>
          </w:p>
        </w:tc>
        <w:tc>
          <w:tcPr>
            <w:tcW w:w="993"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765" w:type="dxa"/>
            <w:gridSpan w:val="2"/>
            <w:vMerge w:val="continue"/>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c>
          <w:tcPr>
            <w:tcW w:w="1694"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总值（万元）</w:t>
            </w:r>
          </w:p>
        </w:tc>
        <w:tc>
          <w:tcPr>
            <w:tcW w:w="839" w:type="dxa"/>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hint="default" w:ascii="Times New Roman" w:hAnsi="Times New Roman" w:eastAsia="宋体" w:cs="Times New Roman"/>
                <w:b w:val="0"/>
                <w:bCs/>
                <w:position w:val="0"/>
                <w:sz w:val="21"/>
                <w:szCs w:val="21"/>
              </w:rPr>
            </w:pPr>
          </w:p>
        </w:tc>
        <w:tc>
          <w:tcPr>
            <w:tcW w:w="295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实验实训设备的使用率（％）</w:t>
            </w:r>
          </w:p>
        </w:tc>
        <w:tc>
          <w:tcPr>
            <w:tcW w:w="5291" w:type="dxa"/>
            <w:gridSpan w:val="6"/>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restart"/>
            <w:textDirection w:val="tbRlV"/>
            <w:vAlign w:val="center"/>
          </w:tcPr>
          <w:p>
            <w:pPr>
              <w:widowControl/>
              <w:snapToGrid w:val="0"/>
              <w:spacing w:line="280" w:lineRule="exact"/>
              <w:ind w:left="113" w:right="113"/>
              <w:jc w:val="center"/>
              <w:textAlignment w:val="baseline"/>
              <w:rPr>
                <w:rFonts w:hint="default" w:ascii="Times New Roman" w:hAnsi="Times New Roman" w:eastAsia="宋体" w:cs="Times New Roman"/>
                <w:b w:val="0"/>
                <w:bCs/>
                <w:position w:val="0"/>
                <w:sz w:val="21"/>
                <w:szCs w:val="21"/>
              </w:rPr>
            </w:pPr>
            <w:r>
              <w:rPr>
                <w:rFonts w:hint="default" w:ascii="Times New Roman" w:hAnsi="宋体" w:eastAsia="宋体" w:cs="Times New Roman"/>
                <w:b w:val="0"/>
                <w:position w:val="0"/>
                <w:sz w:val="21"/>
                <w:szCs w:val="21"/>
              </w:rPr>
              <w:t>办学经费与师资</w:t>
            </w:r>
          </w:p>
        </w:tc>
        <w:tc>
          <w:tcPr>
            <w:tcW w:w="2957" w:type="dxa"/>
            <w:gridSpan w:val="2"/>
            <w:vMerge w:val="restart"/>
            <w:vAlign w:val="center"/>
          </w:tcPr>
          <w:p>
            <w:pPr>
              <w:widowControl/>
              <w:snapToGrid w:val="0"/>
              <w:spacing w:line="240" w:lineRule="exact"/>
              <w:jc w:val="center"/>
              <w:textAlignment w:val="baseline"/>
              <w:rPr>
                <w:rFonts w:hint="default" w:ascii="Times New Roman" w:hAnsi="Times New Roman" w:eastAsia="宋体" w:cs="Times New Roman"/>
                <w:spacing w:val="0"/>
                <w:w w:val="100"/>
                <w:sz w:val="21"/>
                <w:szCs w:val="21"/>
              </w:rPr>
            </w:pPr>
            <w:r>
              <w:rPr>
                <w:rFonts w:hint="default" w:ascii="Times New Roman" w:hAnsi="宋体" w:eastAsia="宋体" w:cs="Times New Roman"/>
                <w:w w:val="100"/>
                <w:sz w:val="21"/>
                <w:szCs w:val="21"/>
              </w:rPr>
              <w:t>近三年办学经费相关数据</w:t>
            </w:r>
          </w:p>
        </w:tc>
        <w:tc>
          <w:tcPr>
            <w:tcW w:w="2758"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总额（万元）</w:t>
            </w:r>
          </w:p>
        </w:tc>
        <w:tc>
          <w:tcPr>
            <w:tcW w:w="2533"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生均（元）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eastAsia="宋体"/>
                <w:b w:val="0"/>
                <w:bCs/>
                <w:position w:val="0"/>
                <w:sz w:val="21"/>
                <w:szCs w:val="21"/>
              </w:rPr>
            </w:pPr>
          </w:p>
        </w:tc>
        <w:tc>
          <w:tcPr>
            <w:tcW w:w="2957" w:type="dxa"/>
            <w:gridSpan w:val="2"/>
            <w:vMerge w:val="continue"/>
            <w:vAlign w:val="center"/>
          </w:tcPr>
          <w:p>
            <w:pPr>
              <w:widowControl/>
              <w:snapToGrid w:val="0"/>
              <w:spacing w:line="240" w:lineRule="exact"/>
              <w:jc w:val="center"/>
              <w:textAlignment w:val="baseline"/>
              <w:rPr>
                <w:rFonts w:hint="default" w:ascii="Times New Roman" w:hAnsi="Times New Roman" w:eastAsia="宋体" w:cs="Times New Roman"/>
                <w:spacing w:val="0"/>
                <w:w w:val="100"/>
                <w:sz w:val="21"/>
                <w:szCs w:val="21"/>
              </w:rPr>
            </w:pPr>
          </w:p>
        </w:tc>
        <w:tc>
          <w:tcPr>
            <w:tcW w:w="993" w:type="dxa"/>
            <w:vAlign w:val="center"/>
          </w:tcPr>
          <w:p>
            <w:pPr>
              <w:widowControl/>
              <w:snapToGrid w:val="0"/>
              <w:spacing w:line="240" w:lineRule="exact"/>
              <w:jc w:val="center"/>
              <w:textAlignment w:val="baseline"/>
              <w:rPr>
                <w:rFonts w:eastAsia="宋体"/>
                <w:sz w:val="21"/>
                <w:szCs w:val="21"/>
              </w:rPr>
            </w:pPr>
            <w:r>
              <w:rPr>
                <w:rFonts w:eastAsia="宋体"/>
                <w:sz w:val="21"/>
                <w:szCs w:val="21"/>
              </w:rPr>
              <w:t>2018</w:t>
            </w:r>
            <w:r>
              <w:rPr>
                <w:rFonts w:hAnsi="宋体" w:eastAsia="宋体"/>
                <w:sz w:val="21"/>
                <w:szCs w:val="21"/>
              </w:rPr>
              <w:t>年</w:t>
            </w:r>
          </w:p>
        </w:tc>
        <w:tc>
          <w:tcPr>
            <w:tcW w:w="911" w:type="dxa"/>
            <w:vAlign w:val="center"/>
          </w:tcPr>
          <w:p>
            <w:pPr>
              <w:widowControl/>
              <w:snapToGrid w:val="0"/>
              <w:spacing w:line="240" w:lineRule="exact"/>
              <w:jc w:val="center"/>
              <w:textAlignment w:val="baseline"/>
              <w:rPr>
                <w:rFonts w:eastAsia="宋体"/>
                <w:sz w:val="21"/>
                <w:szCs w:val="21"/>
              </w:rPr>
            </w:pPr>
            <w:r>
              <w:rPr>
                <w:rFonts w:eastAsia="宋体"/>
                <w:sz w:val="21"/>
                <w:szCs w:val="21"/>
              </w:rPr>
              <w:t>2019</w:t>
            </w:r>
            <w:r>
              <w:rPr>
                <w:rFonts w:hAnsi="宋体" w:eastAsia="宋体"/>
                <w:sz w:val="21"/>
                <w:szCs w:val="21"/>
              </w:rPr>
              <w:t>年</w:t>
            </w:r>
          </w:p>
        </w:tc>
        <w:tc>
          <w:tcPr>
            <w:tcW w:w="854" w:type="dxa"/>
            <w:vAlign w:val="center"/>
          </w:tcPr>
          <w:p>
            <w:pPr>
              <w:widowControl/>
              <w:snapToGrid w:val="0"/>
              <w:spacing w:line="240" w:lineRule="exact"/>
              <w:jc w:val="center"/>
              <w:textAlignment w:val="baseline"/>
              <w:rPr>
                <w:rFonts w:eastAsia="宋体"/>
                <w:sz w:val="21"/>
                <w:szCs w:val="21"/>
              </w:rPr>
            </w:pPr>
            <w:r>
              <w:rPr>
                <w:rFonts w:eastAsia="宋体"/>
                <w:sz w:val="21"/>
                <w:szCs w:val="21"/>
              </w:rPr>
              <w:t>2020</w:t>
            </w:r>
            <w:r>
              <w:rPr>
                <w:rFonts w:hAnsi="宋体" w:eastAsia="宋体"/>
                <w:sz w:val="21"/>
                <w:szCs w:val="21"/>
              </w:rPr>
              <w:t>年</w:t>
            </w:r>
          </w:p>
        </w:tc>
        <w:tc>
          <w:tcPr>
            <w:tcW w:w="839" w:type="dxa"/>
            <w:vAlign w:val="center"/>
          </w:tcPr>
          <w:p>
            <w:pPr>
              <w:widowControl/>
              <w:snapToGrid w:val="0"/>
              <w:spacing w:line="240" w:lineRule="exact"/>
              <w:jc w:val="center"/>
              <w:textAlignment w:val="baseline"/>
              <w:rPr>
                <w:rFonts w:eastAsia="宋体"/>
                <w:sz w:val="21"/>
                <w:szCs w:val="21"/>
              </w:rPr>
            </w:pPr>
            <w:r>
              <w:rPr>
                <w:rFonts w:eastAsia="宋体"/>
                <w:sz w:val="21"/>
                <w:szCs w:val="21"/>
              </w:rPr>
              <w:t>2018</w:t>
            </w:r>
            <w:r>
              <w:rPr>
                <w:rFonts w:hAnsi="宋体" w:eastAsia="宋体"/>
                <w:sz w:val="21"/>
                <w:szCs w:val="21"/>
              </w:rPr>
              <w:t>年</w:t>
            </w:r>
          </w:p>
        </w:tc>
        <w:tc>
          <w:tcPr>
            <w:tcW w:w="855" w:type="dxa"/>
            <w:vAlign w:val="center"/>
          </w:tcPr>
          <w:p>
            <w:pPr>
              <w:widowControl/>
              <w:snapToGrid w:val="0"/>
              <w:spacing w:line="240" w:lineRule="exact"/>
              <w:jc w:val="center"/>
              <w:textAlignment w:val="baseline"/>
              <w:rPr>
                <w:rFonts w:eastAsia="宋体"/>
                <w:sz w:val="21"/>
                <w:szCs w:val="21"/>
              </w:rPr>
            </w:pPr>
            <w:r>
              <w:rPr>
                <w:rFonts w:eastAsia="宋体"/>
                <w:sz w:val="21"/>
                <w:szCs w:val="21"/>
              </w:rPr>
              <w:t>2019</w:t>
            </w:r>
            <w:r>
              <w:rPr>
                <w:rFonts w:hAnsi="宋体" w:eastAsia="宋体"/>
                <w:sz w:val="21"/>
                <w:szCs w:val="21"/>
              </w:rPr>
              <w:t>年</w:t>
            </w:r>
          </w:p>
        </w:tc>
        <w:tc>
          <w:tcPr>
            <w:tcW w:w="839" w:type="dxa"/>
            <w:vAlign w:val="center"/>
          </w:tcPr>
          <w:p>
            <w:pPr>
              <w:widowControl/>
              <w:snapToGrid w:val="0"/>
              <w:spacing w:line="240" w:lineRule="exact"/>
              <w:jc w:val="center"/>
              <w:textAlignment w:val="baseline"/>
              <w:rPr>
                <w:rFonts w:eastAsia="宋体"/>
                <w:sz w:val="21"/>
                <w:szCs w:val="21"/>
              </w:rPr>
            </w:pPr>
            <w:r>
              <w:rPr>
                <w:rFonts w:eastAsia="宋体"/>
                <w:sz w:val="21"/>
                <w:szCs w:val="21"/>
              </w:rPr>
              <w:t>2020</w:t>
            </w:r>
            <w:r>
              <w:rPr>
                <w:rFonts w:hAnsi="宋体" w:eastAsia="宋体"/>
                <w:sz w:val="21"/>
                <w:szCs w:val="21"/>
              </w:rPr>
              <w:t>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eastAsia="宋体"/>
                <w:b w:val="0"/>
                <w:bCs/>
                <w:position w:val="0"/>
                <w:sz w:val="21"/>
                <w:szCs w:val="21"/>
              </w:rPr>
            </w:pPr>
          </w:p>
        </w:tc>
        <w:tc>
          <w:tcPr>
            <w:tcW w:w="295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财政拨款</w:t>
            </w:r>
          </w:p>
        </w:tc>
        <w:tc>
          <w:tcPr>
            <w:tcW w:w="993" w:type="dxa"/>
            <w:vAlign w:val="center"/>
          </w:tcPr>
          <w:p>
            <w:pPr>
              <w:widowControl/>
              <w:snapToGrid w:val="0"/>
              <w:spacing w:line="240" w:lineRule="exact"/>
              <w:jc w:val="center"/>
              <w:textAlignment w:val="baseline"/>
              <w:rPr>
                <w:rFonts w:eastAsia="宋体"/>
                <w:sz w:val="21"/>
                <w:szCs w:val="21"/>
              </w:rPr>
            </w:pPr>
          </w:p>
        </w:tc>
        <w:tc>
          <w:tcPr>
            <w:tcW w:w="911" w:type="dxa"/>
            <w:vAlign w:val="center"/>
          </w:tcPr>
          <w:p>
            <w:pPr>
              <w:widowControl/>
              <w:snapToGrid w:val="0"/>
              <w:spacing w:line="240" w:lineRule="exact"/>
              <w:jc w:val="center"/>
              <w:textAlignment w:val="baseline"/>
              <w:rPr>
                <w:rFonts w:eastAsia="宋体"/>
                <w:sz w:val="21"/>
                <w:szCs w:val="21"/>
              </w:rPr>
            </w:pPr>
          </w:p>
        </w:tc>
        <w:tc>
          <w:tcPr>
            <w:tcW w:w="854" w:type="dxa"/>
            <w:vAlign w:val="center"/>
          </w:tcPr>
          <w:p>
            <w:pPr>
              <w:widowControl/>
              <w:snapToGrid w:val="0"/>
              <w:spacing w:line="240" w:lineRule="exact"/>
              <w:jc w:val="center"/>
              <w:textAlignment w:val="baseline"/>
              <w:rPr>
                <w:rFonts w:eastAsia="宋体"/>
                <w:sz w:val="21"/>
                <w:szCs w:val="21"/>
              </w:rPr>
            </w:pPr>
          </w:p>
        </w:tc>
        <w:tc>
          <w:tcPr>
            <w:tcW w:w="839" w:type="dxa"/>
            <w:vAlign w:val="center"/>
          </w:tcPr>
          <w:p>
            <w:pPr>
              <w:widowControl/>
              <w:snapToGrid w:val="0"/>
              <w:spacing w:line="240" w:lineRule="exact"/>
              <w:jc w:val="center"/>
              <w:textAlignment w:val="baseline"/>
              <w:rPr>
                <w:rFonts w:eastAsia="宋体"/>
                <w:sz w:val="21"/>
                <w:szCs w:val="21"/>
              </w:rPr>
            </w:pPr>
          </w:p>
        </w:tc>
        <w:tc>
          <w:tcPr>
            <w:tcW w:w="855" w:type="dxa"/>
            <w:vAlign w:val="center"/>
          </w:tcPr>
          <w:p>
            <w:pPr>
              <w:widowControl/>
              <w:snapToGrid w:val="0"/>
              <w:spacing w:line="240" w:lineRule="exact"/>
              <w:jc w:val="center"/>
              <w:textAlignment w:val="baseline"/>
              <w:rPr>
                <w:rFonts w:eastAsia="宋体"/>
                <w:sz w:val="21"/>
                <w:szCs w:val="21"/>
              </w:rPr>
            </w:pPr>
          </w:p>
        </w:tc>
        <w:tc>
          <w:tcPr>
            <w:tcW w:w="839" w:type="dxa"/>
            <w:vAlign w:val="center"/>
          </w:tcPr>
          <w:p>
            <w:pPr>
              <w:widowControl/>
              <w:snapToGrid w:val="0"/>
              <w:spacing w:line="240" w:lineRule="exact"/>
              <w:jc w:val="center"/>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eastAsia="宋体"/>
                <w:b w:val="0"/>
                <w:bCs/>
                <w:position w:val="0"/>
                <w:sz w:val="21"/>
                <w:szCs w:val="21"/>
              </w:rPr>
            </w:pPr>
          </w:p>
        </w:tc>
        <w:tc>
          <w:tcPr>
            <w:tcW w:w="295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学费（含住宿费）</w:t>
            </w:r>
          </w:p>
        </w:tc>
        <w:tc>
          <w:tcPr>
            <w:tcW w:w="993" w:type="dxa"/>
            <w:vAlign w:val="center"/>
          </w:tcPr>
          <w:p>
            <w:pPr>
              <w:widowControl/>
              <w:snapToGrid w:val="0"/>
              <w:spacing w:line="240" w:lineRule="exact"/>
              <w:jc w:val="center"/>
              <w:textAlignment w:val="baseline"/>
              <w:rPr>
                <w:rFonts w:eastAsia="宋体"/>
                <w:sz w:val="21"/>
                <w:szCs w:val="21"/>
              </w:rPr>
            </w:pPr>
          </w:p>
        </w:tc>
        <w:tc>
          <w:tcPr>
            <w:tcW w:w="911" w:type="dxa"/>
            <w:vAlign w:val="center"/>
          </w:tcPr>
          <w:p>
            <w:pPr>
              <w:widowControl/>
              <w:snapToGrid w:val="0"/>
              <w:spacing w:line="240" w:lineRule="exact"/>
              <w:jc w:val="center"/>
              <w:textAlignment w:val="baseline"/>
              <w:rPr>
                <w:rFonts w:eastAsia="宋体"/>
                <w:sz w:val="21"/>
                <w:szCs w:val="21"/>
              </w:rPr>
            </w:pPr>
          </w:p>
        </w:tc>
        <w:tc>
          <w:tcPr>
            <w:tcW w:w="854" w:type="dxa"/>
            <w:vAlign w:val="center"/>
          </w:tcPr>
          <w:p>
            <w:pPr>
              <w:widowControl/>
              <w:snapToGrid w:val="0"/>
              <w:spacing w:line="240" w:lineRule="exact"/>
              <w:jc w:val="center"/>
              <w:textAlignment w:val="baseline"/>
              <w:rPr>
                <w:rFonts w:eastAsia="宋体"/>
                <w:sz w:val="21"/>
                <w:szCs w:val="21"/>
              </w:rPr>
            </w:pPr>
          </w:p>
        </w:tc>
        <w:tc>
          <w:tcPr>
            <w:tcW w:w="839" w:type="dxa"/>
            <w:vAlign w:val="center"/>
          </w:tcPr>
          <w:p>
            <w:pPr>
              <w:widowControl/>
              <w:snapToGrid w:val="0"/>
              <w:spacing w:line="240" w:lineRule="exact"/>
              <w:jc w:val="center"/>
              <w:textAlignment w:val="baseline"/>
              <w:rPr>
                <w:rFonts w:eastAsia="宋体"/>
                <w:sz w:val="21"/>
                <w:szCs w:val="21"/>
              </w:rPr>
            </w:pPr>
          </w:p>
        </w:tc>
        <w:tc>
          <w:tcPr>
            <w:tcW w:w="855" w:type="dxa"/>
            <w:vAlign w:val="center"/>
          </w:tcPr>
          <w:p>
            <w:pPr>
              <w:widowControl/>
              <w:snapToGrid w:val="0"/>
              <w:spacing w:line="240" w:lineRule="exact"/>
              <w:jc w:val="center"/>
              <w:textAlignment w:val="baseline"/>
              <w:rPr>
                <w:rFonts w:eastAsia="宋体"/>
                <w:sz w:val="21"/>
                <w:szCs w:val="21"/>
              </w:rPr>
            </w:pPr>
          </w:p>
        </w:tc>
        <w:tc>
          <w:tcPr>
            <w:tcW w:w="839" w:type="dxa"/>
            <w:vAlign w:val="center"/>
          </w:tcPr>
          <w:p>
            <w:pPr>
              <w:widowControl/>
              <w:snapToGrid w:val="0"/>
              <w:spacing w:line="240" w:lineRule="exact"/>
              <w:jc w:val="center"/>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eastAsia="宋体"/>
                <w:b w:val="0"/>
                <w:bCs/>
                <w:position w:val="0"/>
                <w:sz w:val="21"/>
                <w:szCs w:val="21"/>
              </w:rPr>
            </w:pPr>
          </w:p>
        </w:tc>
        <w:tc>
          <w:tcPr>
            <w:tcW w:w="295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自筹经费</w:t>
            </w:r>
          </w:p>
        </w:tc>
        <w:tc>
          <w:tcPr>
            <w:tcW w:w="993" w:type="dxa"/>
            <w:vAlign w:val="center"/>
          </w:tcPr>
          <w:p>
            <w:pPr>
              <w:widowControl/>
              <w:snapToGrid w:val="0"/>
              <w:spacing w:line="240" w:lineRule="exact"/>
              <w:jc w:val="center"/>
              <w:textAlignment w:val="baseline"/>
              <w:rPr>
                <w:rFonts w:eastAsia="宋体"/>
                <w:sz w:val="21"/>
                <w:szCs w:val="21"/>
              </w:rPr>
            </w:pPr>
          </w:p>
        </w:tc>
        <w:tc>
          <w:tcPr>
            <w:tcW w:w="911" w:type="dxa"/>
            <w:vAlign w:val="center"/>
          </w:tcPr>
          <w:p>
            <w:pPr>
              <w:widowControl/>
              <w:snapToGrid w:val="0"/>
              <w:spacing w:line="240" w:lineRule="exact"/>
              <w:jc w:val="center"/>
              <w:textAlignment w:val="baseline"/>
              <w:rPr>
                <w:rFonts w:eastAsia="宋体"/>
                <w:sz w:val="21"/>
                <w:szCs w:val="21"/>
              </w:rPr>
            </w:pPr>
          </w:p>
        </w:tc>
        <w:tc>
          <w:tcPr>
            <w:tcW w:w="854" w:type="dxa"/>
            <w:vAlign w:val="center"/>
          </w:tcPr>
          <w:p>
            <w:pPr>
              <w:widowControl/>
              <w:snapToGrid w:val="0"/>
              <w:spacing w:line="240" w:lineRule="exact"/>
              <w:jc w:val="center"/>
              <w:textAlignment w:val="baseline"/>
              <w:rPr>
                <w:rFonts w:eastAsia="宋体"/>
                <w:sz w:val="21"/>
                <w:szCs w:val="21"/>
              </w:rPr>
            </w:pPr>
          </w:p>
        </w:tc>
        <w:tc>
          <w:tcPr>
            <w:tcW w:w="839" w:type="dxa"/>
            <w:vAlign w:val="center"/>
          </w:tcPr>
          <w:p>
            <w:pPr>
              <w:widowControl/>
              <w:snapToGrid w:val="0"/>
              <w:spacing w:line="240" w:lineRule="exact"/>
              <w:jc w:val="center"/>
              <w:textAlignment w:val="baseline"/>
              <w:rPr>
                <w:rFonts w:eastAsia="宋体"/>
                <w:sz w:val="21"/>
                <w:szCs w:val="21"/>
              </w:rPr>
            </w:pPr>
          </w:p>
        </w:tc>
        <w:tc>
          <w:tcPr>
            <w:tcW w:w="855" w:type="dxa"/>
            <w:vAlign w:val="center"/>
          </w:tcPr>
          <w:p>
            <w:pPr>
              <w:widowControl/>
              <w:snapToGrid w:val="0"/>
              <w:spacing w:line="240" w:lineRule="exact"/>
              <w:jc w:val="center"/>
              <w:textAlignment w:val="baseline"/>
              <w:rPr>
                <w:rFonts w:eastAsia="宋体"/>
                <w:sz w:val="21"/>
                <w:szCs w:val="21"/>
              </w:rPr>
            </w:pPr>
          </w:p>
        </w:tc>
        <w:tc>
          <w:tcPr>
            <w:tcW w:w="839" w:type="dxa"/>
            <w:vAlign w:val="center"/>
          </w:tcPr>
          <w:p>
            <w:pPr>
              <w:widowControl/>
              <w:snapToGrid w:val="0"/>
              <w:spacing w:line="240" w:lineRule="exact"/>
              <w:jc w:val="center"/>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eastAsia="宋体"/>
                <w:b w:val="0"/>
                <w:bCs/>
                <w:position w:val="0"/>
                <w:sz w:val="21"/>
                <w:szCs w:val="21"/>
              </w:rPr>
            </w:pPr>
          </w:p>
        </w:tc>
        <w:tc>
          <w:tcPr>
            <w:tcW w:w="295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u w:val="single"/>
              </w:rPr>
            </w:pPr>
            <w:r>
              <w:rPr>
                <w:rFonts w:hint="default" w:ascii="Times New Roman" w:hAnsi="宋体" w:eastAsia="宋体" w:cs="Times New Roman"/>
                <w:sz w:val="21"/>
                <w:szCs w:val="21"/>
              </w:rPr>
              <w:t>其它</w:t>
            </w:r>
          </w:p>
        </w:tc>
        <w:tc>
          <w:tcPr>
            <w:tcW w:w="993" w:type="dxa"/>
            <w:vAlign w:val="center"/>
          </w:tcPr>
          <w:p>
            <w:pPr>
              <w:widowControl/>
              <w:snapToGrid w:val="0"/>
              <w:spacing w:line="240" w:lineRule="exact"/>
              <w:jc w:val="center"/>
              <w:textAlignment w:val="baseline"/>
              <w:rPr>
                <w:rFonts w:eastAsia="宋体"/>
                <w:sz w:val="21"/>
                <w:szCs w:val="21"/>
              </w:rPr>
            </w:pPr>
          </w:p>
        </w:tc>
        <w:tc>
          <w:tcPr>
            <w:tcW w:w="911" w:type="dxa"/>
            <w:vAlign w:val="center"/>
          </w:tcPr>
          <w:p>
            <w:pPr>
              <w:widowControl/>
              <w:snapToGrid w:val="0"/>
              <w:spacing w:line="240" w:lineRule="exact"/>
              <w:jc w:val="center"/>
              <w:textAlignment w:val="baseline"/>
              <w:rPr>
                <w:rFonts w:eastAsia="宋体"/>
                <w:sz w:val="21"/>
                <w:szCs w:val="21"/>
              </w:rPr>
            </w:pPr>
          </w:p>
        </w:tc>
        <w:tc>
          <w:tcPr>
            <w:tcW w:w="854" w:type="dxa"/>
            <w:vAlign w:val="center"/>
          </w:tcPr>
          <w:p>
            <w:pPr>
              <w:widowControl/>
              <w:snapToGrid w:val="0"/>
              <w:spacing w:line="240" w:lineRule="exact"/>
              <w:jc w:val="center"/>
              <w:textAlignment w:val="baseline"/>
              <w:rPr>
                <w:rFonts w:eastAsia="宋体"/>
                <w:sz w:val="21"/>
                <w:szCs w:val="21"/>
              </w:rPr>
            </w:pPr>
          </w:p>
        </w:tc>
        <w:tc>
          <w:tcPr>
            <w:tcW w:w="839" w:type="dxa"/>
            <w:vAlign w:val="center"/>
          </w:tcPr>
          <w:p>
            <w:pPr>
              <w:widowControl/>
              <w:snapToGrid w:val="0"/>
              <w:spacing w:line="240" w:lineRule="exact"/>
              <w:jc w:val="center"/>
              <w:textAlignment w:val="baseline"/>
              <w:rPr>
                <w:rFonts w:eastAsia="宋体"/>
                <w:sz w:val="21"/>
                <w:szCs w:val="21"/>
              </w:rPr>
            </w:pPr>
          </w:p>
        </w:tc>
        <w:tc>
          <w:tcPr>
            <w:tcW w:w="855" w:type="dxa"/>
            <w:vAlign w:val="center"/>
          </w:tcPr>
          <w:p>
            <w:pPr>
              <w:widowControl/>
              <w:snapToGrid w:val="0"/>
              <w:spacing w:line="240" w:lineRule="exact"/>
              <w:jc w:val="center"/>
              <w:textAlignment w:val="baseline"/>
              <w:rPr>
                <w:rFonts w:eastAsia="宋体"/>
                <w:sz w:val="21"/>
                <w:szCs w:val="21"/>
              </w:rPr>
            </w:pPr>
          </w:p>
        </w:tc>
        <w:tc>
          <w:tcPr>
            <w:tcW w:w="839" w:type="dxa"/>
            <w:vAlign w:val="center"/>
          </w:tcPr>
          <w:p>
            <w:pPr>
              <w:widowControl/>
              <w:snapToGrid w:val="0"/>
              <w:spacing w:line="240" w:lineRule="exact"/>
              <w:jc w:val="center"/>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eastAsia="宋体"/>
                <w:b w:val="0"/>
                <w:bCs/>
                <w:position w:val="0"/>
                <w:sz w:val="21"/>
                <w:szCs w:val="21"/>
              </w:rPr>
            </w:pPr>
          </w:p>
        </w:tc>
        <w:tc>
          <w:tcPr>
            <w:tcW w:w="295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教职工总数（人）</w:t>
            </w:r>
          </w:p>
        </w:tc>
        <w:tc>
          <w:tcPr>
            <w:tcW w:w="993" w:type="dxa"/>
            <w:vAlign w:val="center"/>
          </w:tcPr>
          <w:p>
            <w:pPr>
              <w:widowControl/>
              <w:snapToGrid w:val="0"/>
              <w:spacing w:line="240" w:lineRule="exact"/>
              <w:ind w:right="420"/>
              <w:jc w:val="center"/>
              <w:textAlignment w:val="baseline"/>
              <w:rPr>
                <w:rFonts w:hint="default" w:ascii="Times New Roman" w:hAnsi="Times New Roman" w:eastAsia="宋体" w:cs="Times New Roman"/>
                <w:sz w:val="21"/>
                <w:szCs w:val="21"/>
              </w:rPr>
            </w:pPr>
          </w:p>
        </w:tc>
        <w:tc>
          <w:tcPr>
            <w:tcW w:w="2604" w:type="dxa"/>
            <w:gridSpan w:val="3"/>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专任教师数（人）</w:t>
            </w:r>
          </w:p>
        </w:tc>
        <w:tc>
          <w:tcPr>
            <w:tcW w:w="1694" w:type="dxa"/>
            <w:gridSpan w:val="2"/>
            <w:vAlign w:val="center"/>
          </w:tcPr>
          <w:p>
            <w:pPr>
              <w:widowControl/>
              <w:snapToGrid w:val="0"/>
              <w:spacing w:line="240" w:lineRule="exact"/>
              <w:ind w:right="420"/>
              <w:jc w:val="center"/>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eastAsia="宋体"/>
                <w:b w:val="0"/>
                <w:bCs/>
                <w:position w:val="0"/>
                <w:sz w:val="21"/>
                <w:szCs w:val="21"/>
              </w:rPr>
            </w:pPr>
          </w:p>
        </w:tc>
        <w:tc>
          <w:tcPr>
            <w:tcW w:w="2957" w:type="dxa"/>
            <w:gridSpan w:val="2"/>
            <w:vAlign w:val="center"/>
          </w:tcPr>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兼职教师数（人）</w:t>
            </w:r>
          </w:p>
        </w:tc>
        <w:tc>
          <w:tcPr>
            <w:tcW w:w="993" w:type="dxa"/>
            <w:vAlign w:val="center"/>
          </w:tcPr>
          <w:p>
            <w:pPr>
              <w:widowControl/>
              <w:snapToGrid w:val="0"/>
              <w:spacing w:line="240" w:lineRule="exact"/>
              <w:ind w:right="420"/>
              <w:jc w:val="center"/>
              <w:textAlignment w:val="baseline"/>
              <w:rPr>
                <w:rFonts w:hint="default" w:ascii="Times New Roman" w:hAnsi="Times New Roman" w:eastAsia="宋体" w:cs="Times New Roman"/>
                <w:sz w:val="21"/>
                <w:szCs w:val="21"/>
              </w:rPr>
            </w:pPr>
          </w:p>
        </w:tc>
        <w:tc>
          <w:tcPr>
            <w:tcW w:w="2604" w:type="dxa"/>
            <w:gridSpan w:val="3"/>
            <w:vAlign w:val="center"/>
          </w:tcPr>
          <w:p>
            <w:pPr>
              <w:widowControl/>
              <w:snapToGrid w:val="0"/>
              <w:spacing w:line="240" w:lineRule="exact"/>
              <w:jc w:val="center"/>
              <w:textAlignment w:val="baseline"/>
              <w:rPr>
                <w:rFonts w:hint="default" w:ascii="Times New Roman" w:hAnsi="Times New Roman" w:eastAsia="宋体"/>
                <w:sz w:val="21"/>
                <w:szCs w:val="21"/>
              </w:rPr>
            </w:pPr>
            <w:r>
              <w:rPr>
                <w:rFonts w:hint="default" w:ascii="Times New Roman" w:hAnsi="宋体" w:eastAsia="宋体" w:cs="Times New Roman"/>
                <w:sz w:val="21"/>
                <w:szCs w:val="21"/>
              </w:rPr>
              <w:t>具有行业企业经历</w:t>
            </w:r>
          </w:p>
          <w:p>
            <w:pPr>
              <w:widowControl/>
              <w:snapToGrid w:val="0"/>
              <w:spacing w:line="240" w:lineRule="exact"/>
              <w:jc w:val="center"/>
              <w:textAlignment w:val="baseline"/>
              <w:rPr>
                <w:rFonts w:hint="default" w:ascii="Times New Roman" w:hAnsi="Times New Roman" w:eastAsia="宋体" w:cs="Times New Roman"/>
                <w:sz w:val="21"/>
                <w:szCs w:val="21"/>
              </w:rPr>
            </w:pPr>
            <w:r>
              <w:rPr>
                <w:rFonts w:hint="default" w:ascii="Times New Roman" w:hAnsi="宋体" w:eastAsia="宋体" w:cs="Times New Roman"/>
                <w:sz w:val="21"/>
                <w:szCs w:val="21"/>
              </w:rPr>
              <w:t>的教师数（人）</w:t>
            </w:r>
          </w:p>
        </w:tc>
        <w:tc>
          <w:tcPr>
            <w:tcW w:w="1694" w:type="dxa"/>
            <w:gridSpan w:val="2"/>
            <w:vAlign w:val="center"/>
          </w:tcPr>
          <w:p>
            <w:pPr>
              <w:widowControl/>
              <w:snapToGrid w:val="0"/>
              <w:spacing w:line="240" w:lineRule="exact"/>
              <w:ind w:right="420"/>
              <w:jc w:val="center"/>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9" w:hRule="exact"/>
          <w:jc w:val="center"/>
        </w:trPr>
        <w:tc>
          <w:tcPr>
            <w:tcW w:w="574" w:type="dxa"/>
            <w:vMerge w:val="continue"/>
            <w:vAlign w:val="center"/>
          </w:tcPr>
          <w:p>
            <w:pPr>
              <w:widowControl/>
              <w:snapToGrid w:val="0"/>
              <w:spacing w:line="280" w:lineRule="exact"/>
              <w:jc w:val="center"/>
              <w:textAlignment w:val="baseline"/>
              <w:rPr>
                <w:rFonts w:eastAsia="宋体"/>
                <w:b w:val="0"/>
                <w:bCs/>
                <w:position w:val="0"/>
                <w:sz w:val="21"/>
                <w:szCs w:val="21"/>
              </w:rPr>
            </w:pPr>
          </w:p>
        </w:tc>
        <w:tc>
          <w:tcPr>
            <w:tcW w:w="3950" w:type="dxa"/>
            <w:gridSpan w:val="3"/>
            <w:vAlign w:val="center"/>
          </w:tcPr>
          <w:p>
            <w:pPr>
              <w:widowControl/>
              <w:snapToGrid w:val="0"/>
              <w:spacing w:line="240" w:lineRule="exact"/>
              <w:ind w:right="42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宋体" w:eastAsia="宋体" w:cs="Times New Roman"/>
                <w:sz w:val="21"/>
                <w:szCs w:val="21"/>
              </w:rPr>
              <w:t>一体化</w:t>
            </w:r>
            <w:r>
              <w:rPr>
                <w:rFonts w:hint="default" w:ascii="Times New Roman" w:hAnsi="Times New Roman" w:eastAsia="宋体" w:cs="Times New Roman"/>
                <w:sz w:val="21"/>
                <w:szCs w:val="21"/>
              </w:rPr>
              <w:t>”</w:t>
            </w:r>
            <w:r>
              <w:rPr>
                <w:rFonts w:hint="default" w:ascii="Times New Roman" w:hAnsi="宋体" w:eastAsia="宋体" w:cs="Times New Roman"/>
                <w:sz w:val="21"/>
                <w:szCs w:val="21"/>
              </w:rPr>
              <w:t>教师数（人）</w:t>
            </w:r>
          </w:p>
        </w:tc>
        <w:tc>
          <w:tcPr>
            <w:tcW w:w="4298" w:type="dxa"/>
            <w:gridSpan w:val="5"/>
            <w:vAlign w:val="center"/>
          </w:tcPr>
          <w:p>
            <w:pPr>
              <w:widowControl/>
              <w:snapToGrid w:val="0"/>
              <w:spacing w:line="240" w:lineRule="exact"/>
              <w:ind w:right="420"/>
              <w:jc w:val="center"/>
              <w:textAlignment w:val="baseline"/>
              <w:rPr>
                <w:rFonts w:eastAsia="宋体"/>
                <w:sz w:val="21"/>
                <w:szCs w:val="21"/>
              </w:rPr>
            </w:pPr>
          </w:p>
        </w:tc>
      </w:tr>
    </w:tbl>
    <w:p>
      <w:pPr>
        <w:widowControl w:val="0"/>
        <w:snapToGrid w:val="0"/>
        <w:spacing w:line="20" w:lineRule="exact"/>
        <w:textAlignment w:val="baseline"/>
      </w:pPr>
    </w:p>
    <w:tbl>
      <w:tblPr>
        <w:tblStyle w:val="6"/>
        <w:tblW w:w="8822" w:type="dxa"/>
        <w:jc w:val="center"/>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56"/>
        <w:gridCol w:w="82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12728" w:hRule="atLeast"/>
          <w:jc w:val="center"/>
        </w:trPr>
        <w:tc>
          <w:tcPr>
            <w:tcW w:w="556" w:type="dxa"/>
            <w:tcBorders>
              <w:top w:val="single" w:color="000000" w:sz="8" w:space="0"/>
              <w:left w:val="single" w:color="000000" w:sz="8" w:space="0"/>
              <w:bottom w:val="single" w:color="000000" w:sz="4" w:space="0"/>
              <w:right w:val="single" w:color="000000" w:sz="6" w:space="0"/>
            </w:tcBorders>
            <w:vAlign w:val="center"/>
          </w:tcPr>
          <w:p>
            <w:r>
              <w:rPr>
                <w:rFonts w:hint="default" w:ascii="Times New Roman" w:hAnsi="Times New Roman" w:eastAsia="宋体" w:cs="Times New Roman"/>
                <w:b w:val="0"/>
                <w:bCs/>
                <w:position w:val="6"/>
                <w:sz w:val="21"/>
                <w:szCs w:val="21"/>
              </w:rPr>
              <w:t>建</w:t>
            </w:r>
          </w:p>
          <w:p>
            <w:pPr>
              <w:widowControl/>
              <w:snapToGrid w:val="0"/>
              <w:spacing w:line="280" w:lineRule="exact"/>
              <w:ind w:left="-1344" w:leftChars="-420" w:right="1104" w:rightChars="345"/>
              <w:jc w:val="center"/>
              <w:textAlignment w:val="baseline"/>
              <w:rPr>
                <w:rFonts w:hint="default" w:ascii="Times New Roman" w:hAnsi="Times New Roman" w:eastAsia="宋体" w:cs="Times New Roman"/>
                <w:b w:val="0"/>
                <w:bCs/>
                <w:position w:val="6"/>
                <w:sz w:val="21"/>
                <w:szCs w:val="21"/>
              </w:rPr>
            </w:pPr>
          </w:p>
          <w:p>
            <w:pPr>
              <w:widowControl/>
              <w:snapToGrid w:val="0"/>
              <w:spacing w:line="280" w:lineRule="exact"/>
              <w:jc w:val="center"/>
              <w:textAlignment w:val="baseline"/>
              <w:rPr>
                <w:rFonts w:hint="default" w:eastAsia="宋体"/>
                <w:bCs/>
                <w:position w:val="6"/>
                <w:sz w:val="21"/>
                <w:szCs w:val="21"/>
              </w:rPr>
            </w:pPr>
            <w:r>
              <w:rPr>
                <w:rFonts w:hint="default" w:eastAsia="宋体"/>
                <w:bCs/>
                <w:position w:val="6"/>
                <w:sz w:val="21"/>
                <w:szCs w:val="21"/>
              </w:rPr>
              <w:t>建</w:t>
            </w:r>
          </w:p>
          <w:p>
            <w:r>
              <w:rPr>
                <w:rFonts w:eastAsia="宋体"/>
                <w:bCs/>
                <w:position w:val="6"/>
                <w:sz w:val="21"/>
                <w:szCs w:val="21"/>
              </w:rPr>
              <w:t>设</w:t>
            </w:r>
          </w:p>
          <w:p>
            <w:pPr>
              <w:widowControl/>
              <w:snapToGrid w:val="0"/>
              <w:spacing w:line="280" w:lineRule="exact"/>
              <w:jc w:val="center"/>
              <w:textAlignment w:val="baseline"/>
              <w:rPr>
                <w:rFonts w:hint="default" w:ascii="Times New Roman" w:hAnsi="Times New Roman" w:eastAsia="宋体" w:cs="Times New Roman"/>
                <w:b w:val="0"/>
                <w:bCs/>
                <w:position w:val="6"/>
                <w:sz w:val="21"/>
                <w:szCs w:val="21"/>
              </w:rPr>
            </w:pPr>
          </w:p>
          <w:p>
            <w:r>
              <w:rPr>
                <w:rFonts w:hint="default" w:ascii="Times New Roman" w:hAnsi="Times New Roman" w:eastAsia="宋体" w:cs="Times New Roman"/>
                <w:b w:val="0"/>
                <w:bCs/>
                <w:position w:val="6"/>
                <w:sz w:val="21"/>
                <w:szCs w:val="21"/>
              </w:rPr>
              <w:t>基</w:t>
            </w:r>
          </w:p>
          <w:p>
            <w:pPr>
              <w:widowControl/>
              <w:snapToGrid w:val="0"/>
              <w:spacing w:line="280" w:lineRule="exact"/>
              <w:jc w:val="center"/>
              <w:textAlignment w:val="baseline"/>
              <w:rPr>
                <w:rFonts w:hint="default" w:ascii="Times New Roman" w:hAnsi="Times New Roman" w:eastAsia="宋体" w:cs="Times New Roman"/>
                <w:b w:val="0"/>
                <w:bCs/>
                <w:position w:val="6"/>
                <w:sz w:val="21"/>
                <w:szCs w:val="21"/>
              </w:rPr>
            </w:pPr>
          </w:p>
          <w:p>
            <w:pPr>
              <w:widowControl/>
              <w:snapToGrid w:val="0"/>
              <w:spacing w:line="280" w:lineRule="exact"/>
              <w:jc w:val="center"/>
              <w:textAlignment w:val="baseline"/>
              <w:rPr>
                <w:rFonts w:hint="default" w:ascii="Times New Roman" w:hAnsi="Times New Roman" w:eastAsia="宋体" w:cs="Times New Roman"/>
                <w:b w:val="0"/>
                <w:bCs/>
                <w:position w:val="6"/>
                <w:sz w:val="21"/>
                <w:szCs w:val="21"/>
              </w:rPr>
            </w:pPr>
            <w:r>
              <w:rPr>
                <w:rFonts w:hint="default" w:ascii="Times New Roman" w:hAnsi="Times New Roman" w:eastAsia="宋体" w:cs="Times New Roman"/>
                <w:b w:val="0"/>
                <w:bCs/>
                <w:position w:val="6"/>
                <w:sz w:val="21"/>
                <w:szCs w:val="21"/>
              </w:rPr>
              <w:t>础</w:t>
            </w:r>
          </w:p>
        </w:tc>
        <w:tc>
          <w:tcPr>
            <w:tcW w:w="8266" w:type="dxa"/>
            <w:tcBorders>
              <w:top w:val="single" w:color="000000" w:sz="8" w:space="0"/>
              <w:left w:val="single" w:color="000000" w:sz="6" w:space="0"/>
              <w:bottom w:val="single" w:color="000000" w:sz="4" w:space="0"/>
              <w:right w:val="single" w:color="000000" w:sz="8" w:space="0"/>
            </w:tcBorders>
            <w:tcMar>
              <w:left w:w="85" w:type="dxa"/>
              <w:right w:w="85" w:type="dxa"/>
            </w:tcMar>
            <w:vAlign w:val="top"/>
          </w:tcPr>
          <w:p>
            <w:pPr>
              <w:widowControl/>
              <w:snapToGrid w:val="0"/>
              <w:spacing w:before="120" w:beforeLines="50" w:line="280" w:lineRule="exact"/>
              <w:textAlignment w:val="baseline"/>
              <w:rPr>
                <w:rFonts w:eastAsia="宋体"/>
                <w:sz w:val="21"/>
                <w:szCs w:val="21"/>
              </w:rPr>
            </w:pPr>
            <w:r>
              <w:rPr>
                <w:rFonts w:hint="default" w:ascii="Times New Roman" w:hAnsi="Times New Roman" w:eastAsia="宋体"/>
                <w:sz w:val="21"/>
                <w:szCs w:val="21"/>
              </w:rPr>
              <w:t>（</w:t>
            </w:r>
            <w:r>
              <w:rPr>
                <w:rFonts w:eastAsia="宋体"/>
                <w:sz w:val="21"/>
                <w:szCs w:val="21"/>
              </w:rPr>
              <w:t>主要从全面落实立德树人根本任务、开展高质量学制教育与职业培训、</w:t>
            </w:r>
            <w:r>
              <w:rPr>
                <w:rFonts w:hint="default" w:eastAsia="宋体"/>
                <w:sz w:val="21"/>
                <w:szCs w:val="21"/>
              </w:rPr>
              <w:t>深化产教融合与校企合作</w:t>
            </w:r>
            <w:r>
              <w:rPr>
                <w:rFonts w:eastAsia="宋体"/>
                <w:sz w:val="21"/>
                <w:szCs w:val="21"/>
              </w:rPr>
              <w:t>、</w:t>
            </w:r>
            <w:r>
              <w:rPr>
                <w:rFonts w:hint="default" w:eastAsia="宋体"/>
                <w:sz w:val="21"/>
                <w:szCs w:val="21"/>
              </w:rPr>
              <w:t>加强</w:t>
            </w:r>
            <w:r>
              <w:rPr>
                <w:rFonts w:eastAsia="宋体"/>
                <w:sz w:val="21"/>
                <w:szCs w:val="21"/>
              </w:rPr>
              <w:t>专业建设、</w:t>
            </w:r>
            <w:r>
              <w:rPr>
                <w:rFonts w:hint="default" w:eastAsia="宋体"/>
                <w:sz w:val="21"/>
                <w:szCs w:val="21"/>
              </w:rPr>
              <w:t>打造高水平师资队伍</w:t>
            </w:r>
            <w:r>
              <w:rPr>
                <w:rFonts w:eastAsia="宋体"/>
                <w:sz w:val="21"/>
                <w:szCs w:val="21"/>
              </w:rPr>
              <w:t>、加强</w:t>
            </w:r>
            <w:r>
              <w:rPr>
                <w:rFonts w:hint="default" w:eastAsia="宋体"/>
                <w:sz w:val="21"/>
                <w:szCs w:val="21"/>
              </w:rPr>
              <w:t>职业技能竞赛</w:t>
            </w:r>
            <w:r>
              <w:rPr>
                <w:rFonts w:eastAsia="宋体"/>
                <w:sz w:val="21"/>
                <w:szCs w:val="21"/>
              </w:rPr>
              <w:t>工作、推进国际合作办学、</w:t>
            </w:r>
            <w:r>
              <w:rPr>
                <w:rFonts w:hint="default" w:eastAsia="宋体"/>
                <w:sz w:val="21"/>
                <w:szCs w:val="21"/>
              </w:rPr>
              <w:t>提升信息化水平等8</w:t>
            </w:r>
            <w:r>
              <w:rPr>
                <w:rFonts w:eastAsia="宋体"/>
                <w:sz w:val="21"/>
                <w:szCs w:val="21"/>
              </w:rPr>
              <w:t>个方面描述</w:t>
            </w:r>
            <w:r>
              <w:rPr>
                <w:rFonts w:hint="default" w:ascii="Times New Roman" w:hAnsi="Times New Roman" w:eastAsia="宋体"/>
                <w:sz w:val="21"/>
                <w:szCs w:val="21"/>
              </w:rPr>
              <w:t>）</w:t>
            </w:r>
          </w:p>
        </w:tc>
      </w:tr>
    </w:tbl>
    <w:p>
      <w:pPr>
        <w:widowControl/>
        <w:snapToGrid w:val="0"/>
        <w:textAlignment w:val="baseline"/>
        <w:rPr>
          <w:rFonts w:eastAsia="方正黑体_GBK"/>
          <w:b w:val="0"/>
          <w:bCs/>
          <w:sz w:val="32"/>
          <w:szCs w:val="32"/>
        </w:rPr>
      </w:pPr>
      <w:r>
        <w:rPr>
          <w:rFonts w:eastAsia="方正黑体_GBK"/>
          <w:b w:val="0"/>
          <w:bCs/>
          <w:sz w:val="32"/>
          <w:szCs w:val="32"/>
        </w:rPr>
        <w:t>二、建设方案</w:t>
      </w:r>
    </w:p>
    <w:p>
      <w:pPr>
        <w:widowControl/>
        <w:snapToGrid w:val="0"/>
        <w:textAlignment w:val="baseline"/>
        <w:rPr>
          <w:rFonts w:hint="default" w:ascii="Times New Roman" w:hAnsi="Times New Roman" w:cs="Times New Roman"/>
          <w:b w:val="0"/>
          <w:szCs w:val="32"/>
        </w:rPr>
      </w:pPr>
      <w:r>
        <w:rPr>
          <w:rFonts w:hint="default" w:eastAsia="方正仿宋_GBK"/>
          <w:b w:val="0"/>
          <w:bCs/>
          <w:sz w:val="32"/>
          <w:szCs w:val="32"/>
        </w:rPr>
        <w:t>2-1</w:t>
      </w:r>
      <w:r>
        <w:rPr>
          <w:rFonts w:hint="default" w:ascii="Times New Roman" w:hAnsi="Times New Roman" w:cs="Times New Roman"/>
          <w:b w:val="0"/>
          <w:szCs w:val="32"/>
        </w:rPr>
        <w:t>建设方案概述</w:t>
      </w:r>
    </w:p>
    <w:tbl>
      <w:tblPr>
        <w:tblStyle w:val="6"/>
        <w:tblW w:w="885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8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822" w:hRule="atLeast"/>
          <w:jc w:val="center"/>
        </w:trPr>
        <w:tc>
          <w:tcPr>
            <w:tcW w:w="8855" w:type="dxa"/>
            <w:tcMar>
              <w:left w:w="85" w:type="dxa"/>
              <w:right w:w="85" w:type="dxa"/>
            </w:tcMar>
            <w:vAlign w:val="top"/>
          </w:tcPr>
          <w:p>
            <w:pPr>
              <w:widowControl/>
              <w:snapToGrid w:val="0"/>
              <w:spacing w:before="120" w:beforeLines="50" w:line="240" w:lineRule="exact"/>
              <w:jc w:val="left"/>
              <w:textAlignment w:val="baseline"/>
              <w:rPr>
                <w:rFonts w:eastAsia="宋体"/>
                <w:b/>
                <w:bCs/>
                <w:sz w:val="21"/>
                <w:szCs w:val="21"/>
              </w:rPr>
            </w:pPr>
            <w:r>
              <w:rPr>
                <w:rFonts w:eastAsia="宋体"/>
                <w:sz w:val="21"/>
                <w:szCs w:val="21"/>
              </w:rPr>
              <w:t>（改革发展存在的问题、面临的形势、建设目标与思路、围绕</w:t>
            </w:r>
            <w:r>
              <w:rPr>
                <w:rFonts w:hint="default" w:eastAsia="宋体"/>
                <w:sz w:val="21"/>
                <w:szCs w:val="21"/>
              </w:rPr>
              <w:t>8</w:t>
            </w:r>
            <w:r>
              <w:rPr>
                <w:rFonts w:eastAsia="宋体"/>
                <w:sz w:val="21"/>
                <w:szCs w:val="21"/>
              </w:rPr>
              <w:t>个方面主要任务的</w:t>
            </w:r>
            <w:r>
              <w:rPr>
                <w:rFonts w:hint="default" w:eastAsia="宋体"/>
                <w:sz w:val="21"/>
                <w:szCs w:val="21"/>
              </w:rPr>
              <w:t>具体</w:t>
            </w:r>
            <w:r>
              <w:rPr>
                <w:rFonts w:eastAsia="宋体"/>
                <w:sz w:val="21"/>
                <w:szCs w:val="21"/>
              </w:rPr>
              <w:t>举措</w:t>
            </w:r>
            <w:r>
              <w:rPr>
                <w:rFonts w:hint="default" w:eastAsia="宋体"/>
                <w:sz w:val="21"/>
                <w:szCs w:val="21"/>
              </w:rPr>
              <w:t>、</w:t>
            </w:r>
            <w:r>
              <w:rPr>
                <w:rFonts w:eastAsia="宋体"/>
                <w:sz w:val="21"/>
                <w:szCs w:val="21"/>
              </w:rPr>
              <w:t>资金预算、主要预期成果等）</w:t>
            </w: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
          <w:p/>
          <w:p/>
          <w:p/>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p>
            <w:pPr>
              <w:widowControl/>
              <w:snapToGrid w:val="0"/>
              <w:spacing w:line="240" w:lineRule="exact"/>
              <w:textAlignment w:val="baseline"/>
              <w:rPr>
                <w:rFonts w:eastAsia="宋体"/>
                <w:b/>
                <w:bCs/>
                <w:sz w:val="21"/>
                <w:szCs w:val="21"/>
              </w:rPr>
            </w:pPr>
          </w:p>
        </w:tc>
      </w:tr>
    </w:tbl>
    <w:p>
      <w:pPr>
        <w:widowControl/>
        <w:snapToGrid w:val="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b/>
          <w:sz w:val="32"/>
          <w:szCs w:val="32"/>
        </w:rPr>
        <w:t>2-2</w:t>
      </w:r>
      <w:r>
        <w:rPr>
          <w:rFonts w:hint="default" w:ascii="Times New Roman" w:hAnsi="Times New Roman" w:eastAsia="方正黑体_GBK" w:cs="Times New Roman"/>
          <w:sz w:val="32"/>
          <w:szCs w:val="32"/>
        </w:rPr>
        <w:t>建设进度</w:t>
      </w:r>
    </w:p>
    <w:tbl>
      <w:tblPr>
        <w:tblStyle w:val="6"/>
        <w:tblW w:w="89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9"/>
        <w:gridCol w:w="2535"/>
        <w:gridCol w:w="926"/>
        <w:gridCol w:w="2411"/>
        <w:gridCol w:w="23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restart"/>
            <w:vAlign w:val="center"/>
          </w:tcPr>
          <w:p>
            <w:pPr>
              <w:widowControl/>
              <w:spacing w:line="240" w:lineRule="exact"/>
              <w:jc w:val="center"/>
              <w:textAlignment w:val="baseline"/>
              <w:rPr>
                <w:rFonts w:hint="default" w:ascii="Times New Roman" w:hAnsi="Times New Roman" w:eastAsia="方正黑体_GBK" w:cs="Times New Roman"/>
                <w:b w:val="0"/>
                <w:bCs/>
                <w:sz w:val="21"/>
                <w:szCs w:val="21"/>
              </w:rPr>
            </w:pPr>
            <w:r>
              <w:rPr>
                <w:rFonts w:hint="default" w:ascii="Times New Roman" w:hAnsi="Times New Roman" w:eastAsia="方正黑体_GBK" w:cs="Times New Roman"/>
                <w:b w:val="0"/>
                <w:bCs/>
                <w:sz w:val="21"/>
                <w:szCs w:val="21"/>
              </w:rPr>
              <w:t>序号</w:t>
            </w:r>
          </w:p>
        </w:tc>
        <w:tc>
          <w:tcPr>
            <w:tcW w:w="3461" w:type="dxa"/>
            <w:gridSpan w:val="2"/>
            <w:vMerge w:val="restart"/>
            <w:vAlign w:val="center"/>
          </w:tcPr>
          <w:p>
            <w:pPr>
              <w:widowControl/>
              <w:spacing w:line="240" w:lineRule="exact"/>
              <w:jc w:val="center"/>
              <w:textAlignment w:val="baseline"/>
              <w:rPr>
                <w:rFonts w:hint="default" w:ascii="Times New Roman" w:hAnsi="Times New Roman" w:eastAsia="方正黑体_GBK" w:cs="Times New Roman"/>
                <w:b w:val="0"/>
                <w:bCs/>
                <w:sz w:val="21"/>
                <w:szCs w:val="21"/>
              </w:rPr>
            </w:pPr>
            <w:r>
              <w:rPr>
                <w:rFonts w:hint="default" w:ascii="Times New Roman" w:hAnsi="Times New Roman" w:eastAsia="方正黑体_GBK" w:cs="Times New Roman"/>
                <w:b w:val="0"/>
                <w:bCs/>
                <w:sz w:val="21"/>
                <w:szCs w:val="21"/>
              </w:rPr>
              <w:t>建设内容</w:t>
            </w:r>
          </w:p>
        </w:tc>
        <w:tc>
          <w:tcPr>
            <w:tcW w:w="4772" w:type="dxa"/>
            <w:gridSpan w:val="2"/>
            <w:vAlign w:val="center"/>
          </w:tcPr>
          <w:p>
            <w:pPr>
              <w:widowControl/>
              <w:spacing w:line="240" w:lineRule="exact"/>
              <w:jc w:val="center"/>
              <w:textAlignment w:val="baseline"/>
              <w:rPr>
                <w:rFonts w:hint="default" w:ascii="Times New Roman" w:hAnsi="Times New Roman" w:eastAsia="方正黑体_GBK" w:cs="Times New Roman"/>
                <w:b w:val="0"/>
                <w:bCs/>
                <w:sz w:val="21"/>
                <w:szCs w:val="21"/>
              </w:rPr>
            </w:pPr>
            <w:r>
              <w:rPr>
                <w:rFonts w:hint="default" w:ascii="Times New Roman" w:hAnsi="Times New Roman" w:eastAsia="方正黑体_GBK" w:cs="Times New Roman"/>
                <w:b w:val="0"/>
                <w:bCs/>
                <w:sz w:val="21"/>
                <w:szCs w:val="21"/>
              </w:rPr>
              <w:t>年度目标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3" w:hRule="exact"/>
          <w:jc w:val="center"/>
        </w:trPr>
        <w:tc>
          <w:tcPr>
            <w:tcW w:w="669"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3461" w:type="dxa"/>
            <w:gridSpan w:val="2"/>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2411" w:type="dxa"/>
            <w:vAlign w:val="center"/>
          </w:tcPr>
          <w:p>
            <w:pPr>
              <w:widowControl/>
              <w:spacing w:line="240" w:lineRule="exact"/>
              <w:jc w:val="center"/>
              <w:textAlignment w:val="baseline"/>
              <w:rPr>
                <w:rFonts w:hint="default" w:ascii="Times New Roman" w:hAnsi="Times New Roman" w:eastAsia="方正黑体_GBK" w:cs="Times New Roman"/>
                <w:b w:val="0"/>
                <w:bCs/>
                <w:sz w:val="21"/>
                <w:szCs w:val="21"/>
              </w:rPr>
            </w:pPr>
            <w:r>
              <w:rPr>
                <w:rFonts w:eastAsia="方正黑体_GBK"/>
                <w:b w:val="0"/>
                <w:bCs/>
                <w:sz w:val="21"/>
                <w:szCs w:val="21"/>
              </w:rPr>
              <w:t>202</w:t>
            </w:r>
            <w:r>
              <w:rPr>
                <w:rFonts w:hint="default" w:eastAsia="方正黑体_GBK"/>
                <w:b w:val="0"/>
                <w:bCs/>
                <w:sz w:val="21"/>
                <w:szCs w:val="21"/>
                <w:u w:val="single"/>
              </w:rPr>
              <w:t xml:space="preserve"> </w:t>
            </w:r>
            <w:r>
              <w:rPr>
                <w:rFonts w:hint="eastAsia" w:eastAsia="方正黑体_GBK"/>
                <w:bCs/>
                <w:sz w:val="21"/>
                <w:szCs w:val="21"/>
                <w:u w:val="single"/>
              </w:rPr>
              <w:t xml:space="preserve">  </w:t>
            </w:r>
            <w:r>
              <w:rPr>
                <w:rFonts w:hint="default" w:ascii="Times New Roman" w:hAnsi="Times New Roman" w:eastAsia="方正黑体_GBK" w:cs="Times New Roman"/>
                <w:b w:val="0"/>
                <w:bCs/>
                <w:sz w:val="21"/>
                <w:szCs w:val="21"/>
              </w:rPr>
              <w:t>年</w:t>
            </w:r>
          </w:p>
          <w:p>
            <w:pPr>
              <w:widowControl/>
              <w:spacing w:line="240" w:lineRule="exact"/>
              <w:jc w:val="center"/>
              <w:textAlignment w:val="baseline"/>
              <w:rPr>
                <w:rFonts w:eastAsia="方正黑体_GBK"/>
                <w:b w:val="0"/>
                <w:bCs/>
                <w:sz w:val="21"/>
                <w:szCs w:val="21"/>
              </w:rPr>
            </w:pPr>
            <w:r>
              <w:rPr>
                <w:rFonts w:hint="default" w:ascii="Times New Roman" w:hAnsi="Times New Roman" w:eastAsia="方正黑体_GBK" w:cs="Times New Roman"/>
                <w:sz w:val="21"/>
                <w:szCs w:val="21"/>
              </w:rPr>
              <w:t>（预期目标、验收要点）</w:t>
            </w:r>
          </w:p>
        </w:tc>
        <w:tc>
          <w:tcPr>
            <w:tcW w:w="2361" w:type="dxa"/>
            <w:vAlign w:val="center"/>
          </w:tcPr>
          <w:p>
            <w:pPr>
              <w:widowControl/>
              <w:spacing w:line="240" w:lineRule="exact"/>
              <w:jc w:val="center"/>
              <w:textAlignment w:val="baseline"/>
              <w:rPr>
                <w:rFonts w:hint="default" w:ascii="Times New Roman" w:hAnsi="Times New Roman" w:eastAsia="方正黑体_GBK" w:cs="Times New Roman"/>
                <w:b w:val="0"/>
                <w:bCs/>
                <w:sz w:val="21"/>
                <w:szCs w:val="21"/>
              </w:rPr>
            </w:pPr>
            <w:r>
              <w:rPr>
                <w:rFonts w:eastAsia="方正黑体_GBK"/>
                <w:b w:val="0"/>
                <w:bCs/>
                <w:sz w:val="21"/>
                <w:szCs w:val="21"/>
              </w:rPr>
              <w:t>202</w:t>
            </w:r>
            <w:r>
              <w:rPr>
                <w:rFonts w:hint="default" w:eastAsia="方正黑体_GBK"/>
                <w:b w:val="0"/>
                <w:bCs/>
                <w:sz w:val="21"/>
                <w:szCs w:val="21"/>
                <w:u w:val="single"/>
              </w:rPr>
              <w:t xml:space="preserve"> </w:t>
            </w:r>
            <w:r>
              <w:rPr>
                <w:rFonts w:hint="eastAsia" w:eastAsia="方正黑体_GBK"/>
                <w:bCs/>
                <w:sz w:val="21"/>
                <w:szCs w:val="21"/>
                <w:u w:val="single"/>
              </w:rPr>
              <w:t xml:space="preserve">  </w:t>
            </w:r>
            <w:r>
              <w:rPr>
                <w:rFonts w:hint="default" w:ascii="Times New Roman" w:hAnsi="Times New Roman" w:eastAsia="方正黑体_GBK" w:cs="Times New Roman"/>
                <w:b w:val="0"/>
                <w:bCs/>
                <w:sz w:val="21"/>
                <w:szCs w:val="21"/>
              </w:rPr>
              <w:t>年</w:t>
            </w:r>
          </w:p>
          <w:p>
            <w:pPr>
              <w:widowControl/>
              <w:spacing w:line="240" w:lineRule="exact"/>
              <w:jc w:val="center"/>
              <w:textAlignment w:val="baseline"/>
              <w:rPr>
                <w:rFonts w:eastAsia="方正黑体_GBK"/>
                <w:b w:val="0"/>
                <w:bCs/>
                <w:sz w:val="21"/>
                <w:szCs w:val="21"/>
              </w:rPr>
            </w:pPr>
            <w:r>
              <w:rPr>
                <w:rFonts w:hint="default" w:ascii="Times New Roman" w:hAnsi="Times New Roman" w:eastAsia="方正黑体_GBK" w:cs="Times New Roman"/>
                <w:sz w:val="21"/>
                <w:szCs w:val="21"/>
              </w:rPr>
              <w:t>（预期目标、验收要点）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66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1</w:t>
            </w:r>
          </w:p>
        </w:tc>
        <w:tc>
          <w:tcPr>
            <w:tcW w:w="2535" w:type="dxa"/>
            <w:vMerge w:val="restart"/>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全</w:t>
            </w:r>
            <w:r>
              <w:rPr>
                <w:rFonts w:hint="default" w:ascii="Times New Roman" w:hAnsi="Times New Roman" w:eastAsia="宋体" w:cs="Times New Roman"/>
                <w:b w:val="0"/>
                <w:bCs/>
                <w:spacing w:val="-12"/>
                <w:sz w:val="21"/>
                <w:szCs w:val="21"/>
              </w:rPr>
              <w:t>面落实立德树人根本任务</w:t>
            </w: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1.</w:t>
            </w:r>
          </w:p>
        </w:tc>
        <w:tc>
          <w:tcPr>
            <w:tcW w:w="2411" w:type="dxa"/>
            <w:vAlign w:val="center"/>
          </w:tcPr>
          <w:p>
            <w:pPr>
              <w:widowControl/>
              <w:spacing w:line="240" w:lineRule="exact"/>
              <w:jc w:val="center"/>
              <w:textAlignment w:val="baseline"/>
              <w:rPr>
                <w:rFonts w:eastAsia="宋体"/>
                <w:sz w:val="21"/>
                <w:szCs w:val="21"/>
              </w:rPr>
            </w:pPr>
          </w:p>
        </w:tc>
        <w:tc>
          <w:tcPr>
            <w:tcW w:w="2361" w:type="dxa"/>
            <w:vAlign w:val="center"/>
          </w:tcPr>
          <w:p>
            <w:pPr>
              <w:widowControl/>
              <w:spacing w:line="240" w:lineRule="exact"/>
              <w:jc w:val="center"/>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2.</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66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2</w:t>
            </w:r>
          </w:p>
        </w:tc>
        <w:tc>
          <w:tcPr>
            <w:tcW w:w="2535" w:type="dxa"/>
            <w:vMerge w:val="restart"/>
            <w:vAlign w:val="center"/>
          </w:tcPr>
          <w:p>
            <w:pPr>
              <w:widowControl/>
              <w:spacing w:line="240" w:lineRule="exact"/>
              <w:jc w:val="center"/>
              <w:textAlignment w:val="baseline"/>
              <w:rPr>
                <w:rFonts w:hint="default" w:eastAsia="宋体"/>
                <w:bCs/>
                <w:sz w:val="21"/>
                <w:szCs w:val="21"/>
              </w:rPr>
            </w:pPr>
            <w:r>
              <w:rPr>
                <w:rFonts w:hint="default" w:ascii="Times New Roman" w:hAnsi="Times New Roman" w:eastAsia="宋体" w:cs="Times New Roman"/>
                <w:b w:val="0"/>
                <w:bCs/>
                <w:sz w:val="21"/>
                <w:szCs w:val="21"/>
              </w:rPr>
              <w:t>开展高质量学制教育与</w:t>
            </w:r>
          </w:p>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职业培训</w:t>
            </w: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1.</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2.</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66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3</w:t>
            </w:r>
          </w:p>
        </w:tc>
        <w:tc>
          <w:tcPr>
            <w:tcW w:w="2535" w:type="dxa"/>
            <w:vMerge w:val="restart"/>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深化产教融合、校企合作</w:t>
            </w: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1.</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2.</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66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4</w:t>
            </w:r>
          </w:p>
        </w:tc>
        <w:tc>
          <w:tcPr>
            <w:tcW w:w="2535" w:type="dxa"/>
            <w:vMerge w:val="restart"/>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加强专业建设</w:t>
            </w: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1.</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2.</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5</w:t>
            </w:r>
          </w:p>
        </w:tc>
        <w:tc>
          <w:tcPr>
            <w:tcW w:w="2535" w:type="dxa"/>
            <w:vMerge w:val="restart"/>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打造高水平师资队伍</w:t>
            </w: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1.</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color w:val="0000FF"/>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2.</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color w:val="0000FF"/>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6</w:t>
            </w:r>
          </w:p>
        </w:tc>
        <w:tc>
          <w:tcPr>
            <w:tcW w:w="2535" w:type="dxa"/>
            <w:vMerge w:val="restart"/>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加强职业技能竞赛工作</w:t>
            </w: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1.</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2.</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7</w:t>
            </w:r>
          </w:p>
        </w:tc>
        <w:tc>
          <w:tcPr>
            <w:tcW w:w="2535" w:type="dxa"/>
            <w:vMerge w:val="restart"/>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推进国际合作办学</w:t>
            </w: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1.</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eastAsia="宋体"/>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2.</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eastAsia="宋体"/>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restart"/>
            <w:vAlign w:val="center"/>
          </w:tcPr>
          <w:p>
            <w:pPr>
              <w:widowControl/>
              <w:spacing w:line="240" w:lineRule="exact"/>
              <w:jc w:val="center"/>
              <w:textAlignment w:val="baseline"/>
              <w:rPr>
                <w:rFonts w:hint="default" w:eastAsia="宋体"/>
                <w:b w:val="0"/>
                <w:bCs/>
                <w:sz w:val="21"/>
                <w:szCs w:val="21"/>
              </w:rPr>
            </w:pPr>
            <w:r>
              <w:rPr>
                <w:rFonts w:hint="default" w:eastAsia="宋体"/>
                <w:b w:val="0"/>
                <w:bCs/>
                <w:sz w:val="21"/>
                <w:szCs w:val="21"/>
              </w:rPr>
              <w:t>8</w:t>
            </w:r>
          </w:p>
        </w:tc>
        <w:tc>
          <w:tcPr>
            <w:tcW w:w="2535" w:type="dxa"/>
            <w:vMerge w:val="restart"/>
            <w:vAlign w:val="center"/>
          </w:tcPr>
          <w:p>
            <w:pPr>
              <w:widowControl/>
              <w:spacing w:line="240" w:lineRule="exact"/>
              <w:jc w:val="center"/>
              <w:textAlignment w:val="baseline"/>
              <w:rPr>
                <w:rFonts w:eastAsia="宋体"/>
                <w:b w:val="0"/>
                <w:bCs/>
                <w:sz w:val="21"/>
                <w:szCs w:val="21"/>
              </w:rPr>
            </w:pPr>
            <w:r>
              <w:rPr>
                <w:rFonts w:hint="default" w:ascii="Times New Roman" w:hAnsi="Times New Roman" w:eastAsia="宋体" w:cs="Times New Roman"/>
                <w:b w:val="0"/>
                <w:bCs/>
                <w:sz w:val="21"/>
                <w:szCs w:val="21"/>
              </w:rPr>
              <w:t>提升信息化水平</w:t>
            </w: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1.</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eastAsia="宋体"/>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2.</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9" w:type="dxa"/>
            <w:vMerge w:val="continue"/>
            <w:vAlign w:val="center"/>
          </w:tcPr>
          <w:p>
            <w:pPr>
              <w:widowControl/>
              <w:spacing w:line="240" w:lineRule="exact"/>
              <w:jc w:val="center"/>
              <w:textAlignment w:val="baseline"/>
              <w:rPr>
                <w:rFonts w:eastAsia="宋体"/>
                <w:b w:val="0"/>
                <w:bCs/>
                <w:sz w:val="21"/>
                <w:szCs w:val="21"/>
              </w:rPr>
            </w:pPr>
          </w:p>
        </w:tc>
        <w:tc>
          <w:tcPr>
            <w:tcW w:w="2535" w:type="dxa"/>
            <w:vMerge w:val="continue"/>
            <w:vAlign w:val="center"/>
          </w:tcPr>
          <w:p>
            <w:pPr>
              <w:widowControl/>
              <w:spacing w:line="240" w:lineRule="exact"/>
              <w:jc w:val="center"/>
              <w:textAlignment w:val="baseline"/>
              <w:rPr>
                <w:rFonts w:eastAsia="宋体"/>
                <w:b w:val="0"/>
                <w:bCs/>
                <w:sz w:val="21"/>
                <w:szCs w:val="21"/>
              </w:rPr>
            </w:pPr>
          </w:p>
        </w:tc>
        <w:tc>
          <w:tcPr>
            <w:tcW w:w="926" w:type="dxa"/>
            <w:vAlign w:val="center"/>
          </w:tcPr>
          <w:p>
            <w:pPr>
              <w:widowControl/>
              <w:spacing w:line="240" w:lineRule="exact"/>
              <w:jc w:val="center"/>
              <w:textAlignment w:val="baseline"/>
              <w:rPr>
                <w:rFonts w:eastAsia="宋体"/>
                <w:sz w:val="21"/>
                <w:szCs w:val="21"/>
              </w:rPr>
            </w:pPr>
            <w:r>
              <w:rPr>
                <w:rFonts w:eastAsia="宋体"/>
                <w:sz w:val="21"/>
                <w:szCs w:val="21"/>
              </w:rPr>
              <w:t>...</w:t>
            </w:r>
          </w:p>
        </w:tc>
        <w:tc>
          <w:tcPr>
            <w:tcW w:w="2411" w:type="dxa"/>
            <w:vAlign w:val="center"/>
          </w:tcPr>
          <w:p>
            <w:pPr>
              <w:widowControl/>
              <w:spacing w:line="240" w:lineRule="exact"/>
              <w:jc w:val="center"/>
              <w:textAlignment w:val="baseline"/>
              <w:rPr>
                <w:rFonts w:ascii="Times New Roman" w:hAnsi="Times New Roman" w:eastAsia="宋体"/>
                <w:sz w:val="21"/>
                <w:szCs w:val="21"/>
              </w:rPr>
            </w:pPr>
          </w:p>
        </w:tc>
        <w:tc>
          <w:tcPr>
            <w:tcW w:w="2361" w:type="dxa"/>
            <w:vAlign w:val="center"/>
          </w:tcPr>
          <w:p>
            <w:pPr>
              <w:widowControl/>
              <w:spacing w:line="240" w:lineRule="exact"/>
              <w:jc w:val="center"/>
              <w:textAlignment w:val="baseline"/>
              <w:rPr>
                <w:rFonts w:ascii="Times New Roman" w:hAnsi="Times New Roman" w:eastAsia="宋体"/>
                <w:sz w:val="21"/>
                <w:szCs w:val="21"/>
              </w:rPr>
            </w:pPr>
          </w:p>
        </w:tc>
      </w:tr>
    </w:tbl>
    <w:p>
      <w:pPr>
        <w:widowControl/>
        <w:snapToGrid w:val="0"/>
        <w:textAlignment w:val="baseline"/>
        <w:rPr>
          <w:rFonts w:eastAsia="方正黑体_GBK"/>
          <w:b w:val="0"/>
          <w:bCs/>
          <w:sz w:val="32"/>
          <w:szCs w:val="32"/>
        </w:rPr>
      </w:pPr>
      <w:r>
        <w:rPr>
          <w:rFonts w:hint="default" w:eastAsia="方正黑体_GBK"/>
          <w:b w:val="0"/>
          <w:bCs/>
          <w:sz w:val="32"/>
          <w:szCs w:val="32"/>
        </w:rPr>
        <w:t>三</w:t>
      </w:r>
      <w:r>
        <w:rPr>
          <w:rFonts w:eastAsia="方正黑体_GBK"/>
          <w:b w:val="0"/>
          <w:bCs/>
          <w:sz w:val="32"/>
          <w:szCs w:val="32"/>
        </w:rPr>
        <w:t>、审核与批准意见</w:t>
      </w:r>
    </w:p>
    <w:tbl>
      <w:tblPr>
        <w:tblStyle w:val="6"/>
        <w:tblW w:w="897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9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890" w:hRule="atLeast"/>
          <w:jc w:val="center"/>
        </w:trPr>
        <w:tc>
          <w:tcPr>
            <w:tcW w:w="8975" w:type="dxa"/>
            <w:tcBorders>
              <w:top w:val="single" w:color="000000" w:sz="8" w:space="0"/>
              <w:left w:val="single" w:color="000000" w:sz="8" w:space="0"/>
              <w:bottom w:val="single" w:color="000000" w:sz="6" w:space="0"/>
              <w:right w:val="single" w:color="000000" w:sz="8" w:space="0"/>
            </w:tcBorders>
            <w:tcMar>
              <w:left w:w="85" w:type="dxa"/>
              <w:right w:w="85" w:type="dxa"/>
            </w:tcMar>
            <w:vAlign w:val="top"/>
          </w:tcPr>
          <w:p>
            <w:pPr>
              <w:widowControl/>
              <w:snapToGrid w:val="0"/>
              <w:spacing w:before="120" w:beforeLines="50" w:line="240" w:lineRule="exact"/>
              <w:textAlignment w:val="baseline"/>
              <w:rPr>
                <w:rFonts w:eastAsia="宋体"/>
                <w:b w:val="0"/>
                <w:sz w:val="21"/>
                <w:szCs w:val="21"/>
              </w:rPr>
            </w:pPr>
            <w:r>
              <w:rPr>
                <w:rFonts w:eastAsia="宋体"/>
                <w:b w:val="0"/>
                <w:sz w:val="21"/>
                <w:szCs w:val="21"/>
              </w:rPr>
              <w:t>市级人社部门意见</w:t>
            </w: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hint="default" w:eastAsia="宋体"/>
                <w:sz w:val="21"/>
                <w:szCs w:val="21"/>
              </w:rPr>
            </w:pPr>
          </w:p>
          <w:p>
            <w:pPr>
              <w:widowControl/>
              <w:snapToGrid w:val="0"/>
              <w:spacing w:line="240" w:lineRule="exact"/>
              <w:textAlignment w:val="baseline"/>
              <w:rPr>
                <w:rFonts w:hint="default" w:eastAsia="宋体"/>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sz w:val="21"/>
                <w:szCs w:val="21"/>
              </w:rPr>
            </w:pPr>
            <w:r>
              <w:rPr>
                <w:rFonts w:hint="default" w:eastAsia="宋体"/>
                <w:sz w:val="21"/>
                <w:szCs w:val="21"/>
              </w:rPr>
              <w:t xml:space="preserve">  </w:t>
            </w:r>
          </w:p>
          <w:p>
            <w:pPr>
              <w:widowControl/>
              <w:snapToGrid w:val="0"/>
              <w:spacing w:line="240" w:lineRule="exact"/>
              <w:textAlignment w:val="baseline"/>
              <w:rPr>
                <w:rFonts w:eastAsia="宋体"/>
                <w:b w:val="0"/>
                <w:sz w:val="21"/>
                <w:szCs w:val="21"/>
              </w:rPr>
            </w:pPr>
            <w:r>
              <w:rPr>
                <w:rFonts w:hint="default" w:eastAsia="宋体"/>
                <w:sz w:val="21"/>
                <w:szCs w:val="21"/>
              </w:rPr>
              <w:t xml:space="preserve">                        </w:t>
            </w:r>
          </w:p>
          <w:p>
            <w:pPr>
              <w:widowControl/>
              <w:snapToGrid w:val="0"/>
              <w:spacing w:line="240" w:lineRule="exact"/>
              <w:textAlignment w:val="baseline"/>
              <w:rPr>
                <w:rFonts w:hint="default" w:eastAsia="宋体"/>
                <w:sz w:val="21"/>
                <w:szCs w:val="21"/>
              </w:rPr>
            </w:pPr>
            <w:r>
              <w:rPr>
                <w:rFonts w:eastAsia="宋体"/>
                <w:b w:val="0"/>
                <w:sz w:val="21"/>
                <w:szCs w:val="21"/>
              </w:rPr>
              <w:t xml:space="preserve">            </w:t>
            </w:r>
            <w:r>
              <w:rPr>
                <w:rFonts w:hint="default" w:ascii="Times New Roman" w:hAnsi="Times New Roman" w:eastAsia="宋体" w:cs="Times New Roman"/>
                <w:b w:val="0"/>
                <w:sz w:val="21"/>
                <w:szCs w:val="21"/>
              </w:rPr>
              <w:t xml:space="preserve">                            </w:t>
            </w:r>
            <w:r>
              <w:rPr>
                <w:rFonts w:hint="default" w:ascii="Times New Roman" w:hAnsi="Times New Roman" w:eastAsia="宋体" w:cs="Times New Roman"/>
                <w:sz w:val="21"/>
                <w:szCs w:val="21"/>
              </w:rPr>
              <w:t xml:space="preserve">XX市人力资源和社会保障局（公章）  </w:t>
            </w:r>
          </w:p>
          <w:p>
            <w:pPr>
              <w:widowControl/>
              <w:snapToGrid w:val="0"/>
              <w:spacing w:line="240" w:lineRule="exact"/>
              <w:textAlignment w:val="baseline"/>
              <w:rPr>
                <w:rFonts w:hint="default" w:ascii="Times New Roman" w:hAnsi="Times New Roman" w:eastAsia="宋体" w:cs="Times New Roman"/>
                <w:sz w:val="21"/>
                <w:szCs w:val="21"/>
              </w:rPr>
            </w:pPr>
          </w:p>
          <w:p>
            <w:pPr>
              <w:widowControl/>
              <w:snapToGrid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年    月    日  </w:t>
            </w:r>
          </w:p>
          <w:p>
            <w:pPr>
              <w:widowControl/>
              <w:snapToGrid w:val="0"/>
              <w:spacing w:line="240" w:lineRule="exact"/>
              <w:textAlignment w:val="baseline"/>
              <w:rPr>
                <w:rFonts w:eastAsia="宋体"/>
                <w:b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8975" w:type="dxa"/>
            <w:tcBorders>
              <w:top w:val="single" w:color="000000" w:sz="6" w:space="0"/>
              <w:left w:val="single" w:color="000000" w:sz="8" w:space="0"/>
              <w:bottom w:val="single" w:color="000000" w:sz="6" w:space="0"/>
              <w:right w:val="single" w:color="000000" w:sz="8" w:space="0"/>
            </w:tcBorders>
            <w:tcMar>
              <w:left w:w="85" w:type="dxa"/>
              <w:right w:w="85" w:type="dxa"/>
            </w:tcMar>
            <w:vAlign w:val="top"/>
          </w:tcPr>
          <w:p>
            <w:pPr>
              <w:widowControl/>
              <w:snapToGrid w:val="0"/>
              <w:spacing w:before="120" w:beforeLines="50" w:line="240" w:lineRule="exact"/>
              <w:textAlignment w:val="baseline"/>
              <w:rPr>
                <w:rFonts w:eastAsia="宋体"/>
                <w:b w:val="0"/>
                <w:sz w:val="21"/>
                <w:szCs w:val="21"/>
              </w:rPr>
            </w:pPr>
            <w:r>
              <w:rPr>
                <w:rFonts w:eastAsia="宋体"/>
                <w:b w:val="0"/>
                <w:sz w:val="21"/>
                <w:szCs w:val="21"/>
              </w:rPr>
              <w:t>省级专家组评审意见</w:t>
            </w: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r>
              <w:rPr>
                <w:rFonts w:hint="default" w:eastAsia="宋体"/>
                <w:sz w:val="21"/>
                <w:szCs w:val="21"/>
              </w:rPr>
              <w:t xml:space="preserve"> </w:t>
            </w:r>
          </w:p>
          <w:p>
            <w:pPr>
              <w:widowControl/>
              <w:snapToGrid w:val="0"/>
              <w:spacing w:line="240" w:lineRule="exact"/>
              <w:textAlignment w:val="baseline"/>
              <w:rPr>
                <w:rFonts w:hint="default" w:eastAsia="宋体"/>
                <w:sz w:val="21"/>
                <w:szCs w:val="21"/>
              </w:rPr>
            </w:pPr>
            <w:r>
              <w:rPr>
                <w:rFonts w:eastAsia="宋体"/>
                <w:b w:val="0"/>
                <w:sz w:val="21"/>
                <w:szCs w:val="21"/>
              </w:rPr>
              <w:t xml:space="preserve">                                    </w:t>
            </w:r>
            <w:r>
              <w:rPr>
                <w:rFonts w:hint="default" w:eastAsia="宋体"/>
                <w:sz w:val="21"/>
                <w:szCs w:val="21"/>
              </w:rPr>
              <w:t xml:space="preserve">    </w:t>
            </w:r>
            <w:r>
              <w:rPr>
                <w:rFonts w:eastAsia="宋体"/>
                <w:b w:val="0"/>
                <w:sz w:val="21"/>
                <w:szCs w:val="21"/>
              </w:rPr>
              <w:t xml:space="preserve"> </w:t>
            </w:r>
            <w:r>
              <w:rPr>
                <w:rFonts w:hint="default" w:ascii="Times New Roman" w:hAnsi="Times New Roman" w:eastAsia="宋体" w:cs="Times New Roman"/>
                <w:sz w:val="21"/>
                <w:szCs w:val="21"/>
              </w:rPr>
              <w:t>专家组组长签名：</w:t>
            </w:r>
          </w:p>
          <w:p>
            <w:pPr>
              <w:widowControl/>
              <w:snapToGrid w:val="0"/>
              <w:spacing w:line="240" w:lineRule="exact"/>
              <w:textAlignment w:val="baseline"/>
              <w:rPr>
                <w:rFonts w:hint="default" w:ascii="Times New Roman" w:hAnsi="Times New Roman" w:eastAsia="宋体" w:cs="Times New Roman"/>
                <w:sz w:val="21"/>
                <w:szCs w:val="21"/>
              </w:rPr>
            </w:pPr>
          </w:p>
          <w:p>
            <w:pPr>
              <w:widowControl/>
              <w:snapToGrid w:val="0"/>
              <w:spacing w:line="240" w:lineRule="exact"/>
              <w:ind w:right="420"/>
              <w:jc w:val="righ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widowControl/>
              <w:snapToGrid w:val="0"/>
              <w:spacing w:line="240" w:lineRule="exact"/>
              <w:textAlignment w:val="baseline"/>
              <w:rPr>
                <w:rFonts w:eastAsia="宋体"/>
                <w:b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929" w:hRule="atLeast"/>
          <w:jc w:val="center"/>
        </w:trPr>
        <w:tc>
          <w:tcPr>
            <w:tcW w:w="8975" w:type="dxa"/>
            <w:tcBorders>
              <w:top w:val="single" w:color="000000" w:sz="6" w:space="0"/>
              <w:left w:val="single" w:color="000000" w:sz="8" w:space="0"/>
              <w:bottom w:val="single" w:color="000000" w:sz="8" w:space="0"/>
              <w:right w:val="single" w:color="000000" w:sz="8" w:space="0"/>
            </w:tcBorders>
            <w:tcMar>
              <w:left w:w="85" w:type="dxa"/>
              <w:right w:w="85" w:type="dxa"/>
            </w:tcMar>
            <w:vAlign w:val="top"/>
          </w:tcPr>
          <w:p>
            <w:pPr>
              <w:widowControl/>
              <w:snapToGrid w:val="0"/>
              <w:spacing w:before="120" w:beforeLines="50" w:line="240" w:lineRule="exact"/>
              <w:textAlignment w:val="baseline"/>
              <w:rPr>
                <w:rFonts w:eastAsia="宋体"/>
                <w:b w:val="0"/>
                <w:sz w:val="21"/>
                <w:szCs w:val="21"/>
              </w:rPr>
            </w:pPr>
            <w:r>
              <w:rPr>
                <w:rFonts w:eastAsia="宋体"/>
                <w:b w:val="0"/>
                <w:sz w:val="21"/>
                <w:szCs w:val="21"/>
              </w:rPr>
              <w:t>省级</w:t>
            </w:r>
            <w:r>
              <w:rPr>
                <w:rFonts w:hint="default" w:eastAsia="宋体"/>
                <w:b w:val="0"/>
                <w:sz w:val="21"/>
                <w:szCs w:val="21"/>
              </w:rPr>
              <w:t>人社部门</w:t>
            </w:r>
            <w:r>
              <w:rPr>
                <w:rFonts w:eastAsia="宋体"/>
                <w:b w:val="0"/>
                <w:sz w:val="21"/>
                <w:szCs w:val="21"/>
              </w:rPr>
              <w:t>意见</w:t>
            </w: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b w:val="0"/>
                <w:sz w:val="21"/>
                <w:szCs w:val="21"/>
              </w:rPr>
            </w:pPr>
          </w:p>
          <w:p>
            <w:pPr>
              <w:widowControl/>
              <w:snapToGrid w:val="0"/>
              <w:spacing w:line="240" w:lineRule="exact"/>
              <w:textAlignment w:val="baseline"/>
              <w:rPr>
                <w:rFonts w:eastAsia="宋体"/>
                <w:sz w:val="21"/>
                <w:szCs w:val="21"/>
              </w:rPr>
            </w:pPr>
          </w:p>
          <w:p>
            <w:pPr>
              <w:widowControl/>
              <w:snapToGrid w:val="0"/>
              <w:spacing w:line="240" w:lineRule="exact"/>
              <w:textAlignment w:val="baseline"/>
              <w:rPr>
                <w:rFonts w:eastAsia="宋体"/>
                <w:sz w:val="21"/>
                <w:szCs w:val="21"/>
              </w:rPr>
            </w:pPr>
          </w:p>
          <w:p>
            <w:pPr>
              <w:widowControl/>
              <w:snapToGrid w:val="0"/>
              <w:spacing w:line="240" w:lineRule="exact"/>
              <w:textAlignment w:val="baseline"/>
              <w:rPr>
                <w:rFonts w:hint="default" w:eastAsia="宋体"/>
                <w:sz w:val="21"/>
                <w:szCs w:val="21"/>
              </w:rPr>
            </w:pPr>
          </w:p>
          <w:p>
            <w:pPr>
              <w:widowControl/>
              <w:snapToGrid w:val="0"/>
              <w:spacing w:line="240" w:lineRule="exact"/>
              <w:textAlignment w:val="baseline"/>
              <w:rPr>
                <w:rFonts w:hint="default" w:eastAsia="宋体"/>
                <w:sz w:val="21"/>
                <w:szCs w:val="21"/>
              </w:rPr>
            </w:pPr>
          </w:p>
          <w:p>
            <w:pPr>
              <w:widowControl/>
              <w:snapToGrid w:val="0"/>
              <w:spacing w:line="240" w:lineRule="exact"/>
              <w:textAlignment w:val="baseline"/>
              <w:rPr>
                <w:rFonts w:hint="default" w:eastAsia="宋体"/>
                <w:sz w:val="21"/>
                <w:szCs w:val="21"/>
              </w:rPr>
            </w:pPr>
          </w:p>
          <w:p>
            <w:pPr>
              <w:widowControl/>
              <w:snapToGrid w:val="0"/>
              <w:spacing w:line="240" w:lineRule="exact"/>
              <w:textAlignment w:val="baseline"/>
              <w:rPr>
                <w:rFonts w:hint="default" w:eastAsia="宋体"/>
                <w:sz w:val="21"/>
                <w:szCs w:val="21"/>
              </w:rPr>
            </w:pPr>
          </w:p>
          <w:p>
            <w:pPr>
              <w:widowControl/>
              <w:snapToGrid w:val="0"/>
              <w:spacing w:line="240" w:lineRule="exact"/>
              <w:textAlignment w:val="baseline"/>
              <w:rPr>
                <w:rFonts w:eastAsia="宋体"/>
                <w:sz w:val="21"/>
                <w:szCs w:val="21"/>
              </w:rPr>
            </w:pPr>
          </w:p>
          <w:p>
            <w:pPr>
              <w:widowControl/>
              <w:snapToGrid w:val="0"/>
              <w:spacing w:line="240" w:lineRule="exact"/>
              <w:textAlignment w:val="baseline"/>
              <w:rPr>
                <w:rFonts w:eastAsia="宋体"/>
                <w:sz w:val="21"/>
                <w:szCs w:val="21"/>
              </w:rPr>
            </w:pPr>
          </w:p>
          <w:p>
            <w:pPr>
              <w:widowControl/>
              <w:snapToGrid w:val="0"/>
              <w:spacing w:line="240" w:lineRule="exact"/>
              <w:textAlignment w:val="baseline"/>
              <w:rPr>
                <w:rFonts w:hint="default" w:eastAsia="宋体"/>
                <w:sz w:val="21"/>
                <w:szCs w:val="21"/>
              </w:rPr>
            </w:pPr>
          </w:p>
          <w:p>
            <w:pPr>
              <w:widowControl/>
              <w:snapToGrid w:val="0"/>
              <w:spacing w:line="240" w:lineRule="exact"/>
              <w:textAlignment w:val="baseline"/>
              <w:rPr>
                <w:rFonts w:hint="default" w:eastAsia="宋体"/>
                <w:sz w:val="21"/>
                <w:szCs w:val="21"/>
              </w:rPr>
            </w:pPr>
          </w:p>
          <w:p>
            <w:pPr>
              <w:widowControl/>
              <w:snapToGrid w:val="0"/>
              <w:spacing w:line="240" w:lineRule="exact"/>
              <w:textAlignment w:val="baseline"/>
              <w:rPr>
                <w:rFonts w:eastAsia="宋体"/>
                <w:sz w:val="21"/>
                <w:szCs w:val="21"/>
              </w:rPr>
            </w:pPr>
            <w:r>
              <w:rPr>
                <w:rFonts w:eastAsia="宋体"/>
                <w:sz w:val="21"/>
                <w:szCs w:val="21"/>
              </w:rPr>
              <w:t xml:space="preserve">  </w:t>
            </w:r>
          </w:p>
          <w:p>
            <w:pPr>
              <w:widowControl/>
              <w:snapToGrid w:val="0"/>
              <w:spacing w:line="240" w:lineRule="exact"/>
              <w:textAlignment w:val="baseline"/>
              <w:rPr>
                <w:rFonts w:eastAsia="宋体"/>
                <w:sz w:val="21"/>
                <w:szCs w:val="21"/>
              </w:rPr>
            </w:pPr>
            <w:r>
              <w:rPr>
                <w:rFonts w:eastAsia="宋体"/>
                <w:sz w:val="21"/>
                <w:szCs w:val="21"/>
              </w:rPr>
              <w:t xml:space="preserve">                        </w:t>
            </w:r>
          </w:p>
          <w:p>
            <w:pPr>
              <w:widowControl/>
              <w:snapToGrid w:val="0"/>
              <w:spacing w:line="240" w:lineRule="exact"/>
              <w:textAlignment w:val="baseline"/>
              <w:rPr>
                <w:rFonts w:hint="default" w:eastAsia="宋体"/>
                <w:sz w:val="21"/>
                <w:szCs w:val="21"/>
              </w:rPr>
            </w:pPr>
            <w:r>
              <w:rPr>
                <w:rFonts w:eastAsia="宋体"/>
                <w:sz w:val="21"/>
                <w:szCs w:val="21"/>
              </w:rPr>
              <w:t xml:space="preserve">                                        </w:t>
            </w:r>
            <w:r>
              <w:rPr>
                <w:rFonts w:hint="default" w:eastAsia="宋体"/>
                <w:sz w:val="21"/>
                <w:szCs w:val="21"/>
              </w:rPr>
              <w:t>江苏省</w:t>
            </w:r>
            <w:r>
              <w:rPr>
                <w:rFonts w:eastAsia="宋体"/>
                <w:sz w:val="21"/>
                <w:szCs w:val="21"/>
              </w:rPr>
              <w:t>人力资源和社会保障</w:t>
            </w:r>
            <w:r>
              <w:rPr>
                <w:rFonts w:hint="eastAsia" w:eastAsia="宋体"/>
                <w:sz w:val="21"/>
                <w:szCs w:val="21"/>
              </w:rPr>
              <w:t>厅</w:t>
            </w:r>
            <w:r>
              <w:rPr>
                <w:rFonts w:eastAsia="宋体"/>
                <w:sz w:val="21"/>
                <w:szCs w:val="21"/>
              </w:rPr>
              <w:t xml:space="preserve">（公章）  </w:t>
            </w:r>
          </w:p>
          <w:p>
            <w:pPr>
              <w:widowControl/>
              <w:snapToGrid w:val="0"/>
              <w:spacing w:line="240" w:lineRule="exact"/>
              <w:textAlignment w:val="baseline"/>
              <w:rPr>
                <w:rFonts w:hint="default" w:eastAsia="宋体"/>
                <w:sz w:val="21"/>
                <w:szCs w:val="21"/>
              </w:rPr>
            </w:pPr>
          </w:p>
          <w:p>
            <w:pPr>
              <w:widowControl/>
              <w:snapToGrid w:val="0"/>
              <w:spacing w:line="240" w:lineRule="exact"/>
              <w:textAlignment w:val="baseline"/>
              <w:rPr>
                <w:rFonts w:eastAsia="宋体"/>
                <w:sz w:val="21"/>
                <w:szCs w:val="21"/>
              </w:rPr>
            </w:pPr>
            <w:r>
              <w:rPr>
                <w:rFonts w:eastAsia="宋体"/>
                <w:sz w:val="21"/>
                <w:szCs w:val="21"/>
              </w:rPr>
              <w:t xml:space="preserve">                                               年    月    日  </w:t>
            </w:r>
          </w:p>
          <w:p/>
          <w:p/>
          <w:p/>
          <w:p/>
          <w:p/>
          <w:p/>
          <w:p/>
          <w:p/>
          <w:p/>
          <w:p/>
          <w:p/>
          <w:p>
            <w:pPr>
              <w:widowControl/>
              <w:snapToGrid w:val="0"/>
              <w:spacing w:line="240" w:lineRule="exact"/>
              <w:textAlignment w:val="baseline"/>
              <w:rPr>
                <w:rFonts w:eastAsia="宋体"/>
                <w:b w:val="0"/>
                <w:sz w:val="21"/>
                <w:szCs w:val="21"/>
              </w:rPr>
            </w:pPr>
          </w:p>
        </w:tc>
      </w:tr>
    </w:tbl>
    <w:p>
      <w:pPr>
        <w:spacing w:before="100" w:beforeAutospacing="1" w:line="610" w:lineRule="exact"/>
        <w:jc w:val="center"/>
        <w:textAlignment w:val="baseline"/>
        <w:rPr>
          <w:rFonts w:hint="default" w:eastAsia="方正小标宋_GBK"/>
          <w:sz w:val="44"/>
          <w:szCs w:val="44"/>
        </w:rPr>
      </w:pPr>
      <w:r>
        <w:rPr>
          <w:rFonts w:ascii="Times New Roman" w:eastAsia="方正小标宋_GBK"/>
          <w:bCs w:val="0"/>
          <w:kern w:val="2"/>
          <w:sz w:val="44"/>
          <w:szCs w:val="44"/>
        </w:rPr>
        <w:t>江苏省高水平技工院校</w:t>
      </w:r>
      <w:r>
        <w:rPr>
          <w:rFonts w:hint="default" w:ascii="Times New Roman" w:eastAsia="方正小标宋_GBK"/>
          <w:bCs w:val="0"/>
          <w:kern w:val="2"/>
          <w:sz w:val="44"/>
          <w:szCs w:val="44"/>
        </w:rPr>
        <w:t>评选</w:t>
      </w:r>
      <w:r>
        <w:rPr>
          <w:rFonts w:ascii="Times New Roman" w:eastAsia="方正小标宋_GBK"/>
          <w:bCs w:val="0"/>
          <w:kern w:val="2"/>
          <w:sz w:val="44"/>
          <w:szCs w:val="44"/>
        </w:rPr>
        <w:t>标准</w:t>
      </w:r>
    </w:p>
    <w:p>
      <w:pPr>
        <w:spacing w:after="100" w:afterAutospacing="1" w:line="460" w:lineRule="exact"/>
        <w:jc w:val="center"/>
        <w:textAlignment w:val="baseline"/>
        <w:rPr>
          <w:rFonts w:hint="default" w:eastAsia="方正黑体_GBK"/>
          <w:szCs w:val="32"/>
        </w:rPr>
      </w:pPr>
      <w:r>
        <w:rPr>
          <w:rFonts w:eastAsia="方正黑体_GBK"/>
          <w:bCs w:val="0"/>
          <w:kern w:val="2"/>
          <w:sz w:val="32"/>
          <w:szCs w:val="32"/>
        </w:rPr>
        <w:t>（基础分</w:t>
      </w:r>
      <w:r>
        <w:rPr>
          <w:rFonts w:eastAsia="方正黑体_GBK"/>
          <w:szCs w:val="32"/>
        </w:rPr>
        <w:t>6</w:t>
      </w:r>
      <w:r>
        <w:rPr>
          <w:rFonts w:hint="default" w:eastAsia="方正黑体_GBK"/>
          <w:szCs w:val="32"/>
        </w:rPr>
        <w:t>0</w:t>
      </w:r>
      <w:r>
        <w:rPr>
          <w:rFonts w:eastAsia="方正黑体_GBK"/>
          <w:bCs w:val="0"/>
          <w:kern w:val="2"/>
          <w:sz w:val="32"/>
          <w:szCs w:val="32"/>
        </w:rPr>
        <w:t>分）</w:t>
      </w:r>
    </w:p>
    <w:tbl>
      <w:tblPr>
        <w:tblStyle w:val="6"/>
        <w:tblW w:w="8867" w:type="dxa"/>
        <w:jc w:val="center"/>
        <w:tblInd w:w="33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0"/>
        <w:gridCol w:w="1229"/>
        <w:gridCol w:w="4981"/>
        <w:gridCol w:w="761"/>
        <w:gridCol w:w="6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blHeader/>
          <w:jc w:val="center"/>
        </w:trPr>
        <w:tc>
          <w:tcPr>
            <w:tcW w:w="1240" w:type="dxa"/>
            <w:vAlign w:val="center"/>
          </w:tcPr>
          <w:p>
            <w:r>
              <w:rPr>
                <w:rFonts w:hint="default" w:eastAsia="方正黑体_GBK"/>
                <w:b w:val="0"/>
                <w:bCs/>
                <w:sz w:val="18"/>
                <w:szCs w:val="18"/>
              </w:rPr>
              <w:t>一级</w:t>
            </w:r>
          </w:p>
          <w:p>
            <w:pPr>
              <w:widowControl/>
              <w:spacing w:line="200" w:lineRule="exact"/>
              <w:jc w:val="center"/>
              <w:textAlignment w:val="baseline"/>
              <w:rPr>
                <w:rFonts w:eastAsia="方正黑体_GBK"/>
                <w:b w:val="0"/>
                <w:bCs/>
                <w:sz w:val="18"/>
                <w:szCs w:val="18"/>
              </w:rPr>
            </w:pPr>
            <w:r>
              <w:rPr>
                <w:rFonts w:hint="default" w:eastAsia="方正黑体_GBK"/>
                <w:b w:val="0"/>
                <w:bCs/>
                <w:sz w:val="18"/>
                <w:szCs w:val="18"/>
              </w:rPr>
              <w:t>指标</w:t>
            </w:r>
          </w:p>
        </w:tc>
        <w:tc>
          <w:tcPr>
            <w:tcW w:w="1229" w:type="dxa"/>
            <w:vAlign w:val="center"/>
          </w:tcPr>
          <w:p>
            <w:r>
              <w:rPr>
                <w:rFonts w:hint="default" w:eastAsia="方正黑体_GBK"/>
                <w:b w:val="0"/>
                <w:bCs/>
                <w:sz w:val="18"/>
                <w:szCs w:val="18"/>
              </w:rPr>
              <w:t>二级</w:t>
            </w:r>
          </w:p>
          <w:p>
            <w:pPr>
              <w:widowControl/>
              <w:spacing w:line="200" w:lineRule="exact"/>
              <w:jc w:val="center"/>
              <w:textAlignment w:val="baseline"/>
              <w:rPr>
                <w:rFonts w:eastAsia="方正黑体_GBK"/>
                <w:b w:val="0"/>
                <w:bCs/>
                <w:sz w:val="18"/>
                <w:szCs w:val="18"/>
              </w:rPr>
            </w:pPr>
            <w:r>
              <w:rPr>
                <w:rFonts w:hint="default" w:eastAsia="方正黑体_GBK"/>
                <w:b w:val="0"/>
                <w:bCs/>
                <w:sz w:val="18"/>
                <w:szCs w:val="18"/>
              </w:rPr>
              <w:t>指标</w:t>
            </w:r>
          </w:p>
        </w:tc>
        <w:tc>
          <w:tcPr>
            <w:tcW w:w="4981" w:type="dxa"/>
            <w:vAlign w:val="center"/>
          </w:tcPr>
          <w:p>
            <w:pPr>
              <w:widowControl/>
              <w:spacing w:line="200" w:lineRule="exact"/>
              <w:jc w:val="center"/>
              <w:textAlignment w:val="baseline"/>
              <w:rPr>
                <w:rFonts w:eastAsia="方正黑体_GBK"/>
                <w:b w:val="0"/>
                <w:bCs/>
                <w:sz w:val="18"/>
                <w:szCs w:val="18"/>
              </w:rPr>
            </w:pPr>
            <w:r>
              <w:rPr>
                <w:rFonts w:hint="default" w:eastAsia="方正黑体_GBK"/>
                <w:b w:val="0"/>
                <w:bCs/>
                <w:sz w:val="18"/>
                <w:szCs w:val="18"/>
              </w:rPr>
              <w:t>评审内容</w:t>
            </w:r>
          </w:p>
        </w:tc>
        <w:tc>
          <w:tcPr>
            <w:tcW w:w="761" w:type="dxa"/>
            <w:vAlign w:val="center"/>
          </w:tcPr>
          <w:p>
            <w:pPr>
              <w:widowControl/>
              <w:spacing w:line="200" w:lineRule="exact"/>
              <w:jc w:val="center"/>
              <w:textAlignment w:val="baseline"/>
              <w:rPr>
                <w:rFonts w:eastAsia="方正黑体_GBK"/>
                <w:b w:val="0"/>
                <w:bCs/>
                <w:sz w:val="18"/>
                <w:szCs w:val="18"/>
              </w:rPr>
            </w:pPr>
            <w:r>
              <w:rPr>
                <w:rFonts w:hint="default" w:eastAsia="方正黑体_GBK"/>
                <w:b w:val="0"/>
                <w:bCs/>
                <w:sz w:val="18"/>
                <w:szCs w:val="18"/>
              </w:rPr>
              <w:t>分值</w:t>
            </w:r>
          </w:p>
        </w:tc>
        <w:tc>
          <w:tcPr>
            <w:tcW w:w="656" w:type="dxa"/>
            <w:vAlign w:val="center"/>
          </w:tcPr>
          <w:p>
            <w:pPr>
              <w:widowControl/>
              <w:spacing w:line="200" w:lineRule="exact"/>
              <w:jc w:val="center"/>
              <w:textAlignment w:val="baseline"/>
              <w:rPr>
                <w:rFonts w:eastAsia="方正黑体_GBK"/>
                <w:b w:val="0"/>
                <w:bCs/>
                <w:sz w:val="18"/>
                <w:szCs w:val="18"/>
              </w:rPr>
            </w:pPr>
            <w:r>
              <w:rPr>
                <w:rFonts w:hint="default" w:eastAsia="方正黑体_GBK"/>
                <w:b w:val="0"/>
                <w:bCs/>
                <w:sz w:val="18"/>
                <w:szCs w:val="18"/>
              </w:rPr>
              <w:t>得</w:t>
            </w:r>
            <w:r>
              <w:rPr>
                <w:rFonts w:eastAsia="方正黑体_GBK"/>
                <w:b w:val="0"/>
                <w:bCs/>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40" w:type="dxa"/>
            <w:vMerge w:val="restart"/>
            <w:vAlign w:val="center"/>
          </w:tcPr>
          <w:p>
            <w:pPr>
              <w:widowControl/>
              <w:spacing w:line="200" w:lineRule="exact"/>
              <w:jc w:val="center"/>
              <w:textAlignment w:val="baseline"/>
              <w:rPr>
                <w:rFonts w:hint="default" w:eastAsia="宋体"/>
                <w:b w:val="0"/>
                <w:bCs/>
                <w:sz w:val="18"/>
                <w:szCs w:val="18"/>
              </w:rPr>
            </w:pPr>
            <w:r>
              <w:rPr>
                <w:rFonts w:eastAsia="宋体"/>
                <w:b w:val="0"/>
                <w:bCs/>
                <w:sz w:val="18"/>
                <w:szCs w:val="18"/>
              </w:rPr>
              <w:t>一、学校管理</w:t>
            </w: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1-1</w:t>
            </w:r>
          </w:p>
          <w:p>
            <w:pPr>
              <w:widowControl/>
              <w:spacing w:line="200" w:lineRule="exact"/>
              <w:jc w:val="center"/>
              <w:textAlignment w:val="baseline"/>
              <w:rPr>
                <w:rFonts w:eastAsia="宋体"/>
                <w:b w:val="0"/>
                <w:bCs/>
                <w:sz w:val="18"/>
                <w:szCs w:val="18"/>
              </w:rPr>
            </w:pPr>
            <w:r>
              <w:rPr>
                <w:rFonts w:eastAsia="宋体"/>
                <w:b w:val="0"/>
                <w:bCs/>
                <w:sz w:val="18"/>
                <w:szCs w:val="18"/>
              </w:rPr>
              <w:t>办学方向</w:t>
            </w:r>
          </w:p>
        </w:tc>
        <w:tc>
          <w:tcPr>
            <w:tcW w:w="4981" w:type="dxa"/>
            <w:vAlign w:val="center"/>
          </w:tcPr>
          <w:p>
            <w:pPr>
              <w:widowControl/>
              <w:spacing w:line="200" w:lineRule="exact"/>
              <w:textAlignment w:val="baseline"/>
              <w:rPr>
                <w:rFonts w:eastAsia="宋体"/>
                <w:sz w:val="18"/>
                <w:szCs w:val="18"/>
              </w:rPr>
            </w:pPr>
            <w:r>
              <w:rPr>
                <w:rFonts w:eastAsia="宋体"/>
                <w:sz w:val="18"/>
                <w:szCs w:val="18"/>
              </w:rPr>
              <w:t>认真贯彻落实《关于加强技工院校党的建设工作的若干指导意见（试行）》（苏人社发﹝2020﹞143号），全面加强党的领导，组织机构健全。</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党组织按党章及有关规定规范设置运行，党的各项工作制度有效执行，认真开展“三会一课”、主题教育和党日活动等。</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党组织在学校发展规划、重要改革、人事安排、财务管理等重大事项决策中有效发挥作用，领导工会、共青团等群团组织开展工作</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制定和有效实施了技工教育中长期改革发展规划，办学定位准确，发展思路清晰。</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1-2</w:t>
            </w:r>
          </w:p>
          <w:p>
            <w:pPr>
              <w:widowControl/>
              <w:spacing w:line="200" w:lineRule="exact"/>
              <w:jc w:val="center"/>
              <w:textAlignment w:val="baseline"/>
              <w:rPr>
                <w:rFonts w:eastAsia="宋体"/>
                <w:b w:val="0"/>
                <w:bCs/>
                <w:sz w:val="18"/>
                <w:szCs w:val="18"/>
              </w:rPr>
            </w:pPr>
            <w:r>
              <w:rPr>
                <w:rFonts w:eastAsia="宋体"/>
                <w:b w:val="0"/>
                <w:bCs/>
                <w:sz w:val="18"/>
                <w:szCs w:val="18"/>
              </w:rPr>
              <w:t>办学行为</w:t>
            </w:r>
          </w:p>
        </w:tc>
        <w:tc>
          <w:tcPr>
            <w:tcW w:w="4981" w:type="dxa"/>
            <w:vAlign w:val="center"/>
          </w:tcPr>
          <w:p>
            <w:pPr>
              <w:widowControl/>
              <w:spacing w:line="200" w:lineRule="exact"/>
              <w:textAlignment w:val="baseline"/>
              <w:rPr>
                <w:rFonts w:eastAsia="宋体"/>
                <w:sz w:val="18"/>
                <w:szCs w:val="18"/>
              </w:rPr>
            </w:pPr>
            <w:r>
              <w:rPr>
                <w:rFonts w:eastAsia="宋体"/>
                <w:sz w:val="18"/>
                <w:szCs w:val="18"/>
              </w:rPr>
              <w:t>落实立德树人根本任务，认真遵守法律法规和相关文件规定，近三年在相关工作中未发生违规违纪现象。</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近三年各项办学活动特别是招生、学籍管理、学生资助、联合办学、工学交替、顶岗实习、财务管理、校企合作、教材管理等方面工作规范有序。</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1-3</w:t>
            </w:r>
          </w:p>
          <w:p>
            <w:pPr>
              <w:widowControl/>
              <w:spacing w:line="200" w:lineRule="exact"/>
              <w:jc w:val="center"/>
              <w:textAlignment w:val="baseline"/>
              <w:rPr>
                <w:rFonts w:eastAsia="宋体"/>
                <w:b w:val="0"/>
                <w:bCs/>
                <w:sz w:val="18"/>
                <w:szCs w:val="18"/>
              </w:rPr>
            </w:pPr>
            <w:r>
              <w:rPr>
                <w:rFonts w:eastAsia="宋体"/>
                <w:b w:val="0"/>
                <w:bCs/>
                <w:sz w:val="18"/>
                <w:szCs w:val="18"/>
              </w:rPr>
              <w:t>领导班子</w:t>
            </w:r>
          </w:p>
        </w:tc>
        <w:tc>
          <w:tcPr>
            <w:tcW w:w="4981" w:type="dxa"/>
            <w:vAlign w:val="center"/>
          </w:tcPr>
          <w:p>
            <w:pPr>
              <w:widowControl/>
              <w:spacing w:line="200" w:lineRule="exact"/>
              <w:textAlignment w:val="baseline"/>
              <w:rPr>
                <w:rFonts w:eastAsia="宋体"/>
                <w:sz w:val="18"/>
                <w:szCs w:val="18"/>
              </w:rPr>
            </w:pPr>
            <w:r>
              <w:rPr>
                <w:rFonts w:eastAsia="宋体"/>
                <w:sz w:val="18"/>
                <w:szCs w:val="18"/>
              </w:rPr>
              <w:t>领导班子结构合理，政治素养高、管理能力强、熟悉技能人才培养规律，分工明确，职责清晰。</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校长、教学副校长具有本科以上学历，以及高级专业技术职务或高级技师职业资格，且校长具有5年以上教育管理、职业培训或企业工作经历。</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Align w:val="center"/>
          </w:tcPr>
          <w:p>
            <w:pPr>
              <w:widowControl/>
              <w:spacing w:line="200" w:lineRule="exact"/>
              <w:jc w:val="center"/>
              <w:textAlignment w:val="baseline"/>
              <w:rPr>
                <w:rFonts w:eastAsia="宋体"/>
                <w:b w:val="0"/>
                <w:bCs/>
                <w:sz w:val="18"/>
                <w:szCs w:val="18"/>
              </w:rPr>
            </w:pPr>
            <w:r>
              <w:rPr>
                <w:rFonts w:eastAsia="宋体"/>
                <w:b w:val="0"/>
                <w:bCs/>
                <w:sz w:val="18"/>
                <w:szCs w:val="18"/>
              </w:rPr>
              <w:t>1-4</w:t>
            </w:r>
          </w:p>
          <w:p>
            <w:pPr>
              <w:widowControl/>
              <w:spacing w:line="200" w:lineRule="exact"/>
              <w:jc w:val="center"/>
              <w:textAlignment w:val="baseline"/>
              <w:rPr>
                <w:rFonts w:eastAsia="宋体"/>
                <w:b w:val="0"/>
                <w:bCs/>
                <w:sz w:val="18"/>
                <w:szCs w:val="18"/>
              </w:rPr>
            </w:pPr>
            <w:r>
              <w:rPr>
                <w:rFonts w:eastAsia="宋体"/>
                <w:b w:val="0"/>
                <w:bCs/>
                <w:sz w:val="18"/>
                <w:szCs w:val="18"/>
              </w:rPr>
              <w:t>制度健全</w:t>
            </w:r>
          </w:p>
        </w:tc>
        <w:tc>
          <w:tcPr>
            <w:tcW w:w="4981" w:type="dxa"/>
            <w:vAlign w:val="center"/>
          </w:tcPr>
          <w:p>
            <w:pPr>
              <w:widowControl/>
              <w:spacing w:line="200" w:lineRule="exact"/>
              <w:textAlignment w:val="baseline"/>
              <w:rPr>
                <w:rFonts w:eastAsia="宋体"/>
                <w:sz w:val="18"/>
                <w:szCs w:val="18"/>
              </w:rPr>
            </w:pPr>
            <w:r>
              <w:rPr>
                <w:rFonts w:eastAsia="宋体"/>
                <w:sz w:val="18"/>
                <w:szCs w:val="18"/>
              </w:rPr>
              <w:t>建立了规范的教学管理、预算管理、学籍管理、资产管理、风险管理、安全管理等制度和教育教学质量保障体系并有效落实。</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40"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二、基础条件</w:t>
            </w: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2-1</w:t>
            </w:r>
          </w:p>
          <w:p>
            <w:pPr>
              <w:widowControl/>
              <w:spacing w:line="200" w:lineRule="exact"/>
              <w:jc w:val="center"/>
              <w:textAlignment w:val="baseline"/>
              <w:rPr>
                <w:rFonts w:eastAsia="宋体"/>
                <w:b w:val="0"/>
                <w:bCs/>
                <w:sz w:val="18"/>
                <w:szCs w:val="18"/>
              </w:rPr>
            </w:pPr>
            <w:r>
              <w:rPr>
                <w:rFonts w:eastAsia="宋体"/>
                <w:b w:val="0"/>
                <w:bCs/>
                <w:sz w:val="18"/>
                <w:szCs w:val="18"/>
              </w:rPr>
              <w:t>培养规模</w:t>
            </w:r>
          </w:p>
        </w:tc>
        <w:tc>
          <w:tcPr>
            <w:tcW w:w="4981" w:type="dxa"/>
            <w:vAlign w:val="center"/>
          </w:tcPr>
          <w:p>
            <w:pPr>
              <w:widowControl/>
              <w:spacing w:line="200" w:lineRule="exact"/>
              <w:textAlignment w:val="baseline"/>
              <w:rPr>
                <w:rFonts w:eastAsia="宋体"/>
                <w:sz w:val="18"/>
                <w:szCs w:val="18"/>
              </w:rPr>
            </w:pPr>
            <w:r>
              <w:rPr>
                <w:rFonts w:eastAsia="宋体"/>
                <w:sz w:val="18"/>
                <w:szCs w:val="18"/>
              </w:rPr>
              <w:t xml:space="preserve">全日制技工教育在校生规模不低于2500人。 </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全日制技工教育在校生中高级工、技师培养规模不低于50%。</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年职业培训规模2500人次以上。</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高级工以上年培训量不低于1000人次。</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2-2</w:t>
            </w:r>
          </w:p>
          <w:p>
            <w:pPr>
              <w:widowControl/>
              <w:spacing w:line="200" w:lineRule="exact"/>
              <w:jc w:val="center"/>
              <w:textAlignment w:val="baseline"/>
              <w:rPr>
                <w:rFonts w:eastAsia="宋体"/>
                <w:b w:val="0"/>
                <w:bCs/>
                <w:sz w:val="18"/>
                <w:szCs w:val="18"/>
              </w:rPr>
            </w:pPr>
            <w:r>
              <w:rPr>
                <w:rFonts w:eastAsia="宋体"/>
                <w:b w:val="0"/>
                <w:bCs/>
                <w:sz w:val="18"/>
                <w:szCs w:val="18"/>
              </w:rPr>
              <w:t>校园条件</w:t>
            </w:r>
          </w:p>
        </w:tc>
        <w:tc>
          <w:tcPr>
            <w:tcW w:w="4981" w:type="dxa"/>
            <w:vAlign w:val="center"/>
          </w:tcPr>
          <w:p>
            <w:pPr>
              <w:widowControl/>
              <w:spacing w:line="200" w:lineRule="exact"/>
              <w:textAlignment w:val="baseline"/>
              <w:rPr>
                <w:rFonts w:eastAsia="宋体"/>
                <w:sz w:val="18"/>
                <w:szCs w:val="18"/>
              </w:rPr>
            </w:pPr>
            <w:r>
              <w:rPr>
                <w:rFonts w:eastAsia="宋体"/>
                <w:sz w:val="18"/>
                <w:szCs w:val="18"/>
              </w:rPr>
              <w:t>校园占地面积不少于6.6万平方米（约100亩）。</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校舍建筑面积不少于5万平方米。</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实习、实验场所建筑面积不少于1.5万平方米。企业办校的占地面积、建筑面积可包括企业用于职工培训的相关场所面积。</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40"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建筑、场地设施符合国家建设和安全标准，满足学校办学需要。</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bl>
    <w:p>
      <w:pPr>
        <w:spacing w:line="20" w:lineRule="exact"/>
      </w:pPr>
      <w:r>
        <w:br w:type="page"/>
      </w:r>
    </w:p>
    <w:tbl>
      <w:tblPr>
        <w:tblStyle w:val="6"/>
        <w:tblW w:w="8909" w:type="dxa"/>
        <w:jc w:val="center"/>
        <w:tblInd w:w="2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2"/>
        <w:gridCol w:w="1229"/>
        <w:gridCol w:w="4981"/>
        <w:gridCol w:w="761"/>
        <w:gridCol w:w="6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blHeader/>
          <w:jc w:val="center"/>
        </w:trPr>
        <w:tc>
          <w:tcPr>
            <w:tcW w:w="1282" w:type="dxa"/>
            <w:vAlign w:val="center"/>
          </w:tcPr>
          <w:p>
            <w:pPr>
              <w:widowControl/>
              <w:spacing w:line="200" w:lineRule="exact"/>
              <w:jc w:val="center"/>
              <w:textAlignment w:val="baseline"/>
              <w:rPr>
                <w:rFonts w:eastAsia="宋体"/>
                <w:bCs/>
                <w:sz w:val="18"/>
                <w:szCs w:val="18"/>
              </w:rPr>
            </w:pPr>
            <w:r>
              <w:rPr>
                <w:rFonts w:eastAsia="方正黑体_GBK"/>
                <w:bCs/>
                <w:sz w:val="18"/>
                <w:szCs w:val="18"/>
              </w:rPr>
              <w:t>一级指标</w:t>
            </w:r>
          </w:p>
        </w:tc>
        <w:tc>
          <w:tcPr>
            <w:tcW w:w="1229" w:type="dxa"/>
            <w:vAlign w:val="center"/>
          </w:tcPr>
          <w:p>
            <w:pPr>
              <w:widowControl/>
              <w:spacing w:line="200" w:lineRule="exact"/>
              <w:jc w:val="center"/>
              <w:textAlignment w:val="baseline"/>
              <w:rPr>
                <w:rFonts w:eastAsia="宋体"/>
                <w:bCs/>
                <w:sz w:val="18"/>
                <w:szCs w:val="18"/>
              </w:rPr>
            </w:pPr>
            <w:r>
              <w:rPr>
                <w:rFonts w:eastAsia="方正黑体_GBK"/>
                <w:bCs/>
                <w:sz w:val="18"/>
                <w:szCs w:val="18"/>
              </w:rPr>
              <w:t>二级指标</w:t>
            </w:r>
          </w:p>
        </w:tc>
        <w:tc>
          <w:tcPr>
            <w:tcW w:w="4981" w:type="dxa"/>
            <w:vAlign w:val="center"/>
          </w:tcPr>
          <w:p>
            <w:pPr>
              <w:widowControl/>
              <w:spacing w:line="200" w:lineRule="exact"/>
              <w:jc w:val="center"/>
              <w:textAlignment w:val="baseline"/>
              <w:rPr>
                <w:rFonts w:eastAsia="宋体"/>
                <w:sz w:val="18"/>
                <w:szCs w:val="18"/>
              </w:rPr>
            </w:pPr>
            <w:r>
              <w:rPr>
                <w:rFonts w:eastAsia="方正黑体_GBK"/>
                <w:bCs/>
                <w:sz w:val="18"/>
                <w:szCs w:val="18"/>
              </w:rPr>
              <w:t>评审内容</w:t>
            </w:r>
          </w:p>
        </w:tc>
        <w:tc>
          <w:tcPr>
            <w:tcW w:w="761" w:type="dxa"/>
            <w:vAlign w:val="center"/>
          </w:tcPr>
          <w:p>
            <w:pPr>
              <w:widowControl/>
              <w:spacing w:line="200" w:lineRule="exact"/>
              <w:jc w:val="center"/>
              <w:textAlignment w:val="baseline"/>
              <w:rPr>
                <w:rFonts w:eastAsia="宋体"/>
                <w:sz w:val="18"/>
                <w:szCs w:val="18"/>
              </w:rPr>
            </w:pPr>
            <w:r>
              <w:rPr>
                <w:rFonts w:eastAsia="方正黑体_GBK"/>
                <w:bCs/>
                <w:sz w:val="18"/>
                <w:szCs w:val="18"/>
              </w:rPr>
              <w:t>分值</w:t>
            </w:r>
          </w:p>
        </w:tc>
        <w:tc>
          <w:tcPr>
            <w:tcW w:w="656" w:type="dxa"/>
            <w:vAlign w:val="center"/>
          </w:tcPr>
          <w:p>
            <w:pPr>
              <w:widowControl/>
              <w:spacing w:line="200" w:lineRule="exact"/>
              <w:jc w:val="center"/>
              <w:textAlignment w:val="baseline"/>
              <w:rPr>
                <w:rFonts w:eastAsia="宋体"/>
                <w:sz w:val="18"/>
                <w:szCs w:val="18"/>
              </w:rPr>
            </w:pPr>
            <w:r>
              <w:rPr>
                <w:rFonts w:eastAsia="方正黑体_GBK"/>
                <w:bCs/>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restart"/>
            <w:vAlign w:val="center"/>
          </w:tcPr>
          <w:p>
            <w:pPr>
              <w:widowControl/>
              <w:spacing w:line="200" w:lineRule="exact"/>
              <w:jc w:val="center"/>
              <w:textAlignment w:val="baseline"/>
              <w:rPr>
                <w:rFonts w:eastAsia="宋体"/>
                <w:b w:val="0"/>
                <w:bCs/>
                <w:sz w:val="18"/>
                <w:szCs w:val="18"/>
              </w:rPr>
            </w:pPr>
            <w:r>
              <w:rPr>
                <w:rFonts w:eastAsia="宋体"/>
                <w:bCs/>
                <w:sz w:val="18"/>
                <w:szCs w:val="18"/>
              </w:rPr>
              <w:t>二、基础条件</w:t>
            </w: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2-3</w:t>
            </w:r>
          </w:p>
          <w:p>
            <w:pPr>
              <w:widowControl/>
              <w:spacing w:line="200" w:lineRule="exact"/>
              <w:jc w:val="center"/>
              <w:textAlignment w:val="baseline"/>
              <w:rPr>
                <w:rFonts w:eastAsia="宋体"/>
                <w:b w:val="0"/>
                <w:bCs/>
                <w:sz w:val="18"/>
                <w:szCs w:val="18"/>
              </w:rPr>
            </w:pPr>
            <w:r>
              <w:rPr>
                <w:rFonts w:eastAsia="宋体"/>
                <w:b w:val="0"/>
                <w:bCs/>
                <w:sz w:val="18"/>
                <w:szCs w:val="18"/>
              </w:rPr>
              <w:t>实训条件</w:t>
            </w:r>
          </w:p>
        </w:tc>
        <w:tc>
          <w:tcPr>
            <w:tcW w:w="4981" w:type="dxa"/>
            <w:vAlign w:val="center"/>
          </w:tcPr>
          <w:p>
            <w:pPr>
              <w:widowControl/>
              <w:spacing w:line="200" w:lineRule="exact"/>
              <w:textAlignment w:val="baseline"/>
              <w:rPr>
                <w:rFonts w:eastAsia="宋体"/>
                <w:sz w:val="18"/>
                <w:szCs w:val="18"/>
              </w:rPr>
            </w:pPr>
            <w:r>
              <w:rPr>
                <w:rFonts w:eastAsia="宋体"/>
                <w:sz w:val="18"/>
                <w:szCs w:val="18"/>
              </w:rPr>
              <w:t>学校设备总值不低于2500万元（生均5000元）。</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各专业均有完备的校内实训场所和设备设施，工位数满足需求。实训课程的课时开出率达95%以上。</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各专业均建立了稳定的校内外实训基地。主干专业建有省级以上实训基地。</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2-4</w:t>
            </w:r>
          </w:p>
          <w:p>
            <w:pPr>
              <w:widowControl/>
              <w:spacing w:line="200" w:lineRule="exact"/>
              <w:jc w:val="center"/>
              <w:textAlignment w:val="baseline"/>
              <w:rPr>
                <w:rFonts w:eastAsia="宋体"/>
                <w:b w:val="0"/>
                <w:bCs/>
                <w:sz w:val="18"/>
                <w:szCs w:val="18"/>
              </w:rPr>
            </w:pPr>
            <w:r>
              <w:rPr>
                <w:rFonts w:eastAsia="宋体"/>
                <w:b w:val="0"/>
                <w:bCs/>
                <w:sz w:val="18"/>
                <w:szCs w:val="18"/>
              </w:rPr>
              <w:t>教师队伍</w:t>
            </w:r>
          </w:p>
        </w:tc>
        <w:tc>
          <w:tcPr>
            <w:tcW w:w="4981" w:type="dxa"/>
            <w:vAlign w:val="center"/>
          </w:tcPr>
          <w:p>
            <w:pPr>
              <w:widowControl/>
              <w:spacing w:line="200" w:lineRule="exact"/>
              <w:textAlignment w:val="baseline"/>
              <w:rPr>
                <w:rFonts w:eastAsia="宋体"/>
                <w:sz w:val="18"/>
                <w:szCs w:val="18"/>
              </w:rPr>
            </w:pPr>
            <w:r>
              <w:rPr>
                <w:rFonts w:eastAsia="宋体"/>
                <w:sz w:val="18"/>
                <w:szCs w:val="18"/>
              </w:rPr>
              <w:t>教师队伍结构合理、素质优良，符合学历要求并具备教师资格条件。</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学制教育师生比不低于1：18。</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技术理论课教师和实习指导教师不低于教师总数的70%。</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hint="default"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具有企业实践经验的教师占技术理论课教师和实习指导教师25%以上。</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hint="default"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一体化教师达到技术理论课教师和实习指导教师总数的60%以上。</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hint="default"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兼职教师符合《职业学校兼职教师管理办法》要求，不超过教师总数的三分之一。</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2-5</w:t>
            </w:r>
          </w:p>
          <w:p>
            <w:pPr>
              <w:widowControl/>
              <w:spacing w:line="200" w:lineRule="exact"/>
              <w:jc w:val="center"/>
              <w:textAlignment w:val="baseline"/>
              <w:rPr>
                <w:rFonts w:eastAsia="宋体"/>
                <w:b w:val="0"/>
                <w:bCs/>
                <w:sz w:val="18"/>
                <w:szCs w:val="18"/>
              </w:rPr>
            </w:pPr>
            <w:r>
              <w:rPr>
                <w:rFonts w:eastAsia="宋体"/>
                <w:b w:val="0"/>
                <w:bCs/>
                <w:sz w:val="18"/>
                <w:szCs w:val="18"/>
              </w:rPr>
              <w:t>信息化条件</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建有功能齐全和运行流畅的校园网，学校管理信息系统功能齐全、运行流畅。</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建有数字化教学资源库、教学平台和试题库平台，使用效率和服务教学成效好。</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主要教学场所均配备了必要的多媒体设备，计算机数量满足教育、教学和管理需要。</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三、校企合作</w:t>
            </w: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3-1</w:t>
            </w:r>
          </w:p>
          <w:p>
            <w:pPr>
              <w:widowControl/>
              <w:spacing w:line="200" w:lineRule="exact"/>
              <w:jc w:val="center"/>
              <w:textAlignment w:val="baseline"/>
              <w:rPr>
                <w:rFonts w:eastAsia="宋体"/>
                <w:b w:val="0"/>
                <w:bCs/>
                <w:sz w:val="18"/>
                <w:szCs w:val="18"/>
              </w:rPr>
            </w:pPr>
            <w:r>
              <w:rPr>
                <w:rFonts w:eastAsia="宋体"/>
                <w:b w:val="0"/>
                <w:bCs/>
                <w:sz w:val="18"/>
                <w:szCs w:val="18"/>
              </w:rPr>
              <w:t>合作机制</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校企合作制度齐全，合作机制规范有效，定期开展合作交流活动。每个主干专业均有5家以上深度合作企业。</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积极推行企业新型学徒制，年培养人数达500人以上。</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积极参与或牵头开展集团化办学，取得一定成效。</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3-2</w:t>
            </w:r>
          </w:p>
          <w:p>
            <w:pPr>
              <w:widowControl/>
              <w:spacing w:line="200" w:lineRule="exact"/>
              <w:jc w:val="center"/>
              <w:textAlignment w:val="baseline"/>
              <w:rPr>
                <w:rFonts w:eastAsia="宋体"/>
                <w:b w:val="0"/>
                <w:bCs/>
                <w:sz w:val="18"/>
                <w:szCs w:val="18"/>
              </w:rPr>
            </w:pPr>
            <w:r>
              <w:rPr>
                <w:rFonts w:eastAsia="宋体"/>
                <w:b w:val="0"/>
                <w:bCs/>
                <w:sz w:val="18"/>
                <w:szCs w:val="18"/>
              </w:rPr>
              <w:t>顶岗实习</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严格落实学生实习管理制度，建立完善工作机制和相应工作措施。</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学校、实习单位、学生三方权属签订实习协议，明确各方的责任、权利和义务，协议约定的实习期限、岗位、安全、报酬等内容符合相关规定要求。</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学校对实习工作和学生实习过程进行监管，台账齐全、记录全面。</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学生顶岗实习责任保险政策全部落实。学校按规定帮助实习学生取得相应报酬。</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3-3</w:t>
            </w:r>
          </w:p>
          <w:p>
            <w:pPr>
              <w:widowControl/>
              <w:spacing w:line="200" w:lineRule="exact"/>
              <w:jc w:val="center"/>
              <w:textAlignment w:val="baseline"/>
              <w:rPr>
                <w:rFonts w:eastAsia="宋体"/>
                <w:b w:val="0"/>
                <w:bCs/>
                <w:sz w:val="18"/>
                <w:szCs w:val="18"/>
              </w:rPr>
            </w:pPr>
            <w:r>
              <w:rPr>
                <w:rFonts w:eastAsia="宋体"/>
                <w:b w:val="0"/>
                <w:bCs/>
                <w:sz w:val="18"/>
                <w:szCs w:val="18"/>
              </w:rPr>
              <w:t>校企协同</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建立了聘任企业高技能人才和社会能工巧匠任教的机制，行业企业专家和管理者参与学校建设、教学和管理并取得成效。</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建立了行业、企业、研究机构和其他社会组织等共同参与的教育教学评价机制，开展协同评价活动。</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3-4</w:t>
            </w:r>
          </w:p>
          <w:p>
            <w:pPr>
              <w:widowControl/>
              <w:spacing w:line="200" w:lineRule="exact"/>
              <w:jc w:val="center"/>
              <w:textAlignment w:val="baseline"/>
              <w:rPr>
                <w:rFonts w:eastAsia="宋体"/>
                <w:b w:val="0"/>
                <w:bCs/>
                <w:sz w:val="18"/>
                <w:szCs w:val="18"/>
              </w:rPr>
            </w:pPr>
            <w:r>
              <w:rPr>
                <w:rFonts w:eastAsia="宋体"/>
                <w:b w:val="0"/>
                <w:bCs/>
                <w:sz w:val="18"/>
                <w:szCs w:val="18"/>
              </w:rPr>
              <w:t>社会服务</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充分利用教育资源，积极面向企业开展生产、咨询和技术服务并取得良好成效。</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成为行业、企业技能人才培养基地，每年参加学校举办的校企双选就业活动的企业不少于50家，其中规模以上企业不少于30家。</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建有市级以上社会培训公共服务基地或企业职工技能提升培训基地，积极开展培训活动或技能竞赛服务。</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82"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四、教育教学</w:t>
            </w: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4-1</w:t>
            </w:r>
          </w:p>
          <w:p>
            <w:pPr>
              <w:widowControl/>
              <w:spacing w:line="200" w:lineRule="exact"/>
              <w:jc w:val="center"/>
              <w:textAlignment w:val="baseline"/>
              <w:rPr>
                <w:rFonts w:eastAsia="宋体"/>
                <w:b w:val="0"/>
                <w:bCs/>
                <w:sz w:val="18"/>
                <w:szCs w:val="18"/>
              </w:rPr>
            </w:pPr>
            <w:r>
              <w:rPr>
                <w:rFonts w:eastAsia="宋体"/>
                <w:b w:val="0"/>
                <w:bCs/>
                <w:sz w:val="18"/>
                <w:szCs w:val="18"/>
              </w:rPr>
              <w:t>德育工作</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德育制度完备，机制健全，德育工作队伍素质高。</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每年制定德育工作计划，不断加强和改进德育工作，创新德育内容、方法和途径。</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4-2</w:t>
            </w:r>
          </w:p>
          <w:p>
            <w:pPr>
              <w:widowControl/>
              <w:spacing w:line="200" w:lineRule="exact"/>
              <w:jc w:val="center"/>
              <w:textAlignment w:val="baseline"/>
              <w:rPr>
                <w:rFonts w:eastAsia="宋体"/>
                <w:b w:val="0"/>
                <w:bCs/>
                <w:sz w:val="18"/>
                <w:szCs w:val="18"/>
              </w:rPr>
            </w:pPr>
            <w:r>
              <w:rPr>
                <w:rFonts w:eastAsia="宋体"/>
                <w:b w:val="0"/>
                <w:bCs/>
                <w:sz w:val="18"/>
                <w:szCs w:val="18"/>
              </w:rPr>
              <w:t>专业建设</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建立专业建设委员会并定期开展活动，指导专业建设、人才培养、课程建设。</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每年开展产业发展和企业岗位需求调研，促进专业设置更好适应产业发展和企业需求。</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专业结构合理，特色鲜明，主干专业建设成效明显，与重点产业匹配度达到80%，有2个以上主干专业获评省级以上示范（重点）专业。</w:t>
            </w:r>
          </w:p>
        </w:tc>
        <w:tc>
          <w:tcPr>
            <w:tcW w:w="761" w:type="dxa"/>
            <w:vAlign w:val="center"/>
          </w:tcPr>
          <w:p>
            <w:pPr>
              <w:widowControl/>
              <w:spacing w:line="200" w:lineRule="exact"/>
              <w:jc w:val="center"/>
              <w:textAlignment w:val="baseline"/>
              <w:rPr>
                <w:rFonts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50%以上的主干专业建立了专业群。</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Align w:val="center"/>
          </w:tcPr>
          <w:p>
            <w:pPr>
              <w:widowControl/>
              <w:spacing w:line="200" w:lineRule="exact"/>
              <w:jc w:val="center"/>
              <w:textAlignment w:val="baseline"/>
              <w:rPr>
                <w:rFonts w:eastAsia="宋体"/>
                <w:b w:val="0"/>
                <w:bCs/>
                <w:sz w:val="18"/>
                <w:szCs w:val="18"/>
              </w:rPr>
            </w:pPr>
            <w:r>
              <w:rPr>
                <w:rFonts w:eastAsia="宋体"/>
                <w:b w:val="0"/>
                <w:bCs/>
                <w:sz w:val="18"/>
                <w:szCs w:val="18"/>
              </w:rPr>
              <w:t>4-3</w:t>
            </w:r>
          </w:p>
          <w:p>
            <w:pPr>
              <w:widowControl/>
              <w:spacing w:line="200" w:lineRule="exact"/>
              <w:jc w:val="center"/>
              <w:textAlignment w:val="baseline"/>
              <w:rPr>
                <w:rFonts w:eastAsia="宋体"/>
                <w:b w:val="0"/>
                <w:bCs/>
                <w:sz w:val="18"/>
                <w:szCs w:val="18"/>
              </w:rPr>
            </w:pPr>
            <w:r>
              <w:rPr>
                <w:rFonts w:eastAsia="宋体"/>
                <w:b w:val="0"/>
                <w:bCs/>
                <w:sz w:val="18"/>
                <w:szCs w:val="18"/>
              </w:rPr>
              <w:t>模式创新</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有效推行工学结合的人才培养模式，每个主干专业深入开展项目教学、案例教学、场景教学、模拟教学和岗位教学。</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4-4</w:t>
            </w:r>
          </w:p>
          <w:p>
            <w:pPr>
              <w:widowControl/>
              <w:spacing w:line="200" w:lineRule="exact"/>
              <w:jc w:val="center"/>
              <w:textAlignment w:val="baseline"/>
              <w:rPr>
                <w:rFonts w:eastAsia="宋体"/>
                <w:b w:val="0"/>
                <w:bCs/>
                <w:sz w:val="18"/>
                <w:szCs w:val="18"/>
              </w:rPr>
            </w:pPr>
            <w:r>
              <w:rPr>
                <w:rFonts w:eastAsia="宋体"/>
                <w:b w:val="0"/>
                <w:bCs/>
                <w:sz w:val="18"/>
                <w:szCs w:val="18"/>
              </w:rPr>
              <w:t>课程改革</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主干专业全部建立了理论与实践相融合、教学内容与岗位需求相适应的一体化课程体系，教学文件规范齐全。</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积极拓展中外合作办学，引进国外先进课程体系。</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4-5</w:t>
            </w:r>
          </w:p>
          <w:p>
            <w:pPr>
              <w:widowControl/>
              <w:spacing w:line="200" w:lineRule="exact"/>
              <w:jc w:val="center"/>
              <w:textAlignment w:val="baseline"/>
              <w:rPr>
                <w:rFonts w:eastAsia="宋体"/>
                <w:b w:val="0"/>
                <w:bCs/>
                <w:sz w:val="18"/>
                <w:szCs w:val="18"/>
              </w:rPr>
            </w:pPr>
            <w:r>
              <w:rPr>
                <w:rFonts w:eastAsia="宋体"/>
                <w:b w:val="0"/>
                <w:bCs/>
                <w:sz w:val="18"/>
                <w:szCs w:val="18"/>
              </w:rPr>
              <w:t>骨干教师培养</w:t>
            </w:r>
          </w:p>
        </w:tc>
        <w:tc>
          <w:tcPr>
            <w:tcW w:w="4981" w:type="dxa"/>
            <w:vAlign w:val="center"/>
          </w:tcPr>
          <w:p>
            <w:pPr>
              <w:widowControl/>
              <w:spacing w:line="200" w:lineRule="exact"/>
              <w:textAlignment w:val="baseline"/>
              <w:rPr>
                <w:rFonts w:eastAsia="宋体"/>
                <w:sz w:val="18"/>
                <w:szCs w:val="18"/>
              </w:rPr>
            </w:pPr>
            <w:r>
              <w:rPr>
                <w:rFonts w:eastAsia="宋体"/>
                <w:sz w:val="18"/>
                <w:szCs w:val="18"/>
              </w:rPr>
              <w:t>建立了教师队伍长效建设机制，重视骨干教师培养，每年制定工作计划、并组织实施，管理规范、台账齐全。</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60%以上主干专业均有1名以上省级教学名师或专业带头人。</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textAlignment w:val="baseline"/>
              <w:rPr>
                <w:rFonts w:eastAsia="宋体"/>
                <w:sz w:val="18"/>
                <w:szCs w:val="18"/>
              </w:rPr>
            </w:pPr>
            <w:r>
              <w:rPr>
                <w:rFonts w:eastAsia="宋体"/>
                <w:sz w:val="18"/>
                <w:szCs w:val="18"/>
              </w:rPr>
              <w:t>有效落实教师企业实践制度，达到企业实践规定课时。</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restart"/>
            <w:vAlign w:val="center"/>
          </w:tcPr>
          <w:p>
            <w:pPr>
              <w:widowControl/>
              <w:spacing w:line="200" w:lineRule="exact"/>
              <w:jc w:val="center"/>
              <w:textAlignment w:val="baseline"/>
              <w:rPr>
                <w:rFonts w:hint="default" w:eastAsia="宋体"/>
                <w:b w:val="0"/>
                <w:bCs/>
                <w:sz w:val="18"/>
                <w:szCs w:val="18"/>
              </w:rPr>
            </w:pPr>
            <w:r>
              <w:rPr>
                <w:rFonts w:eastAsia="宋体"/>
                <w:b w:val="0"/>
                <w:bCs/>
                <w:sz w:val="18"/>
                <w:szCs w:val="18"/>
              </w:rPr>
              <w:t>五、办学</w:t>
            </w:r>
            <w:r>
              <w:rPr>
                <w:rFonts w:hint="default" w:eastAsia="宋体"/>
                <w:b w:val="0"/>
                <w:bCs/>
                <w:sz w:val="18"/>
                <w:szCs w:val="18"/>
              </w:rPr>
              <w:t>质量</w:t>
            </w: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5-1</w:t>
            </w:r>
          </w:p>
          <w:p>
            <w:pPr>
              <w:widowControl/>
              <w:spacing w:line="200" w:lineRule="exact"/>
              <w:jc w:val="center"/>
              <w:textAlignment w:val="baseline"/>
              <w:rPr>
                <w:rFonts w:eastAsia="宋体"/>
                <w:b w:val="0"/>
                <w:bCs/>
                <w:sz w:val="18"/>
                <w:szCs w:val="18"/>
              </w:rPr>
            </w:pPr>
            <w:r>
              <w:rPr>
                <w:rFonts w:eastAsia="宋体"/>
                <w:b w:val="0"/>
                <w:bCs/>
                <w:sz w:val="18"/>
                <w:szCs w:val="18"/>
              </w:rPr>
              <w:t>稳定就业</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近三年应届毕业生当年就业率达到95％以上。</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近三年用人单位满意率达到85％以上。</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每个主干专业稳定的就业合作企业不少于5个。</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5-2</w:t>
            </w:r>
          </w:p>
          <w:p>
            <w:pPr>
              <w:widowControl/>
              <w:spacing w:line="200" w:lineRule="exact"/>
              <w:jc w:val="center"/>
              <w:textAlignment w:val="baseline"/>
              <w:rPr>
                <w:rFonts w:eastAsia="宋体"/>
                <w:b w:val="0"/>
                <w:bCs/>
                <w:sz w:val="18"/>
                <w:szCs w:val="18"/>
              </w:rPr>
            </w:pPr>
            <w:r>
              <w:rPr>
                <w:rFonts w:eastAsia="宋体"/>
                <w:b w:val="0"/>
                <w:bCs/>
                <w:sz w:val="18"/>
                <w:szCs w:val="18"/>
              </w:rPr>
              <w:t>人才评价</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申报成为职业技能等级认定第三方评价机构。</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每年面向企业职工、社会人员开展职业技能等级认定人数不少于全日制在校生认定人数。</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5-3</w:t>
            </w:r>
          </w:p>
          <w:p>
            <w:pPr>
              <w:widowControl/>
              <w:spacing w:line="200" w:lineRule="exact"/>
              <w:jc w:val="center"/>
              <w:textAlignment w:val="baseline"/>
              <w:rPr>
                <w:rFonts w:eastAsia="宋体"/>
                <w:b w:val="0"/>
                <w:bCs/>
                <w:sz w:val="18"/>
                <w:szCs w:val="18"/>
              </w:rPr>
            </w:pPr>
            <w:r>
              <w:rPr>
                <w:rFonts w:eastAsia="宋体"/>
                <w:b w:val="0"/>
                <w:bCs/>
                <w:sz w:val="18"/>
                <w:szCs w:val="18"/>
              </w:rPr>
              <w:t>技能竞赛</w:t>
            </w: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学校竞赛工作体系健全，面向学生、企业职工等群体广泛开展各级各类竞赛活动。</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1282" w:type="dxa"/>
            <w:vMerge w:val="continue"/>
            <w:vAlign w:val="center"/>
          </w:tcPr>
          <w:p>
            <w:pPr>
              <w:widowControl/>
              <w:spacing w:line="200" w:lineRule="exact"/>
              <w:jc w:val="center"/>
              <w:textAlignment w:val="baseline"/>
              <w:rPr>
                <w:rFonts w:hint="default" w:eastAsia="宋体"/>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4981" w:type="dxa"/>
            <w:vAlign w:val="center"/>
          </w:tcPr>
          <w:p>
            <w:pPr>
              <w:widowControl/>
              <w:spacing w:line="200" w:lineRule="exact"/>
              <w:jc w:val="left"/>
              <w:textAlignment w:val="baseline"/>
              <w:rPr>
                <w:rFonts w:eastAsia="宋体"/>
                <w:sz w:val="18"/>
                <w:szCs w:val="18"/>
              </w:rPr>
            </w:pPr>
            <w:r>
              <w:rPr>
                <w:rFonts w:eastAsia="宋体"/>
                <w:sz w:val="18"/>
                <w:szCs w:val="18"/>
              </w:rPr>
              <w:t>建有世界技能大赛、全国职业技能大赛省级以上集训基地。</w:t>
            </w:r>
          </w:p>
        </w:tc>
        <w:tc>
          <w:tcPr>
            <w:tcW w:w="761" w:type="dxa"/>
            <w:vAlign w:val="center"/>
          </w:tcPr>
          <w:p>
            <w:pPr>
              <w:widowControl/>
              <w:spacing w:line="200" w:lineRule="exact"/>
              <w:jc w:val="center"/>
              <w:textAlignment w:val="baseline"/>
              <w:rPr>
                <w:rFonts w:hint="default" w:eastAsia="宋体"/>
                <w:sz w:val="18"/>
                <w:szCs w:val="18"/>
              </w:rPr>
            </w:pPr>
            <w:r>
              <w:rPr>
                <w:rFonts w:hint="default" w:eastAsia="宋体"/>
                <w:sz w:val="18"/>
                <w:szCs w:val="18"/>
              </w:rPr>
              <w:t>1</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25" w:hRule="atLeast"/>
          <w:jc w:val="center"/>
        </w:trPr>
        <w:tc>
          <w:tcPr>
            <w:tcW w:w="1282" w:type="dxa"/>
            <w:vMerge w:val="restart"/>
            <w:vAlign w:val="center"/>
          </w:tcPr>
          <w:p>
            <w:pPr>
              <w:widowControl/>
              <w:spacing w:line="200" w:lineRule="exact"/>
              <w:jc w:val="center"/>
              <w:textAlignment w:val="baseline"/>
              <w:rPr>
                <w:rFonts w:hint="default" w:eastAsia="宋体"/>
                <w:b w:val="0"/>
                <w:bCs/>
                <w:sz w:val="18"/>
                <w:szCs w:val="18"/>
              </w:rPr>
            </w:pPr>
            <w:r>
              <w:rPr>
                <w:rFonts w:hint="default" w:eastAsia="宋体"/>
                <w:b w:val="0"/>
                <w:bCs/>
                <w:sz w:val="18"/>
                <w:szCs w:val="18"/>
              </w:rPr>
              <w:t>六、加分项</w:t>
            </w: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竞赛成绩</w:t>
            </w:r>
          </w:p>
        </w:tc>
        <w:tc>
          <w:tcPr>
            <w:tcW w:w="5742" w:type="dxa"/>
            <w:gridSpan w:val="2"/>
            <w:vAlign w:val="center"/>
          </w:tcPr>
          <w:p>
            <w:pPr>
              <w:widowControl/>
              <w:spacing w:line="200" w:lineRule="exact"/>
              <w:jc w:val="left"/>
              <w:textAlignment w:val="baseline"/>
              <w:rPr>
                <w:rFonts w:eastAsia="宋体"/>
                <w:sz w:val="18"/>
                <w:szCs w:val="18"/>
              </w:rPr>
            </w:pPr>
            <w:r>
              <w:rPr>
                <w:rFonts w:eastAsia="宋体"/>
                <w:sz w:val="18"/>
                <w:szCs w:val="18"/>
              </w:rPr>
              <w:t>近三年师生在世界技能大赛获得第一名每个10分，第二名每个8分，第三名每个7分，优胜奖每个6分；全国职业技能大赛第一名每个6分，第二名每个5分，第三名每个4分；全国行业职业技能竞赛一类赛第一名每个4分，第二名每个3分，第三名每个2分；江苏技能状元大赛第一名每个5分，第二名每个4分，第三名每个3分；省级一类职业技能竞赛第一名每个2分，第二名每个1分，第三名每个0.5分。</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3" w:hRule="atLeast"/>
          <w:jc w:val="center"/>
        </w:trPr>
        <w:tc>
          <w:tcPr>
            <w:tcW w:w="1282" w:type="dxa"/>
            <w:vMerge w:val="continue"/>
            <w:vAlign w:val="center"/>
          </w:tcPr>
          <w:p>
            <w:pPr>
              <w:widowControl/>
              <w:spacing w:line="200" w:lineRule="exact"/>
              <w:jc w:val="center"/>
              <w:textAlignment w:val="baseline"/>
              <w:rPr>
                <w:rFonts w:hint="default"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5742" w:type="dxa"/>
            <w:gridSpan w:val="2"/>
            <w:vAlign w:val="center"/>
          </w:tcPr>
          <w:p>
            <w:pPr>
              <w:widowControl/>
              <w:spacing w:line="200" w:lineRule="exact"/>
              <w:jc w:val="left"/>
              <w:textAlignment w:val="baseline"/>
              <w:rPr>
                <w:rFonts w:eastAsia="宋体"/>
                <w:sz w:val="18"/>
                <w:szCs w:val="18"/>
              </w:rPr>
            </w:pPr>
            <w:r>
              <w:rPr>
                <w:rFonts w:eastAsia="宋体"/>
                <w:sz w:val="18"/>
                <w:szCs w:val="18"/>
              </w:rPr>
              <w:t>近三年举办或承办全国职业技能竞赛（含赛项）每项10分；全国行业职业技能竞赛一类赛每项5分；江苏技能状元大赛（含赛项）每项3分；省级一类职业技能竞赛每项3分。</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9" w:hRule="atLeast"/>
          <w:jc w:val="center"/>
        </w:trPr>
        <w:tc>
          <w:tcPr>
            <w:tcW w:w="1282" w:type="dxa"/>
            <w:vMerge w:val="continue"/>
            <w:vAlign w:val="center"/>
          </w:tcPr>
          <w:p>
            <w:pPr>
              <w:widowControl/>
              <w:spacing w:line="200" w:lineRule="exact"/>
              <w:jc w:val="center"/>
              <w:textAlignment w:val="baseline"/>
              <w:rPr>
                <w:rFonts w:hint="default"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5742" w:type="dxa"/>
            <w:gridSpan w:val="2"/>
            <w:vAlign w:val="center"/>
          </w:tcPr>
          <w:p>
            <w:pPr>
              <w:widowControl/>
              <w:spacing w:line="200" w:lineRule="exact"/>
              <w:jc w:val="left"/>
              <w:textAlignment w:val="baseline"/>
              <w:rPr>
                <w:rFonts w:eastAsia="宋体"/>
                <w:sz w:val="18"/>
                <w:szCs w:val="18"/>
              </w:rPr>
            </w:pPr>
            <w:r>
              <w:rPr>
                <w:rFonts w:eastAsia="宋体"/>
                <w:sz w:val="18"/>
                <w:szCs w:val="18"/>
              </w:rPr>
              <w:t>近三年教师获得全国技工院校教师职业能力大赛一等奖每个4分，二等奖每个2分，三等奖每个1分。学生获得全国技工院校学生创新创业大赛一等奖每个4分，二等奖每个2分，三等奖每个1分。</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5" w:hRule="atLeast"/>
          <w:jc w:val="center"/>
        </w:trPr>
        <w:tc>
          <w:tcPr>
            <w:tcW w:w="1282" w:type="dxa"/>
            <w:vMerge w:val="continue"/>
            <w:vAlign w:val="center"/>
          </w:tcPr>
          <w:p>
            <w:pPr>
              <w:widowControl/>
              <w:spacing w:line="200" w:lineRule="exact"/>
              <w:jc w:val="center"/>
              <w:textAlignment w:val="baseline"/>
              <w:rPr>
                <w:rFonts w:hint="default"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重点任务</w:t>
            </w:r>
          </w:p>
        </w:tc>
        <w:tc>
          <w:tcPr>
            <w:tcW w:w="5742" w:type="dxa"/>
            <w:gridSpan w:val="2"/>
            <w:vAlign w:val="center"/>
          </w:tcPr>
          <w:p>
            <w:pPr>
              <w:widowControl/>
              <w:spacing w:line="200" w:lineRule="exact"/>
              <w:jc w:val="left"/>
              <w:textAlignment w:val="baseline"/>
              <w:rPr>
                <w:rFonts w:eastAsia="宋体"/>
                <w:sz w:val="18"/>
                <w:szCs w:val="18"/>
              </w:rPr>
            </w:pPr>
            <w:r>
              <w:rPr>
                <w:rFonts w:eastAsia="宋体"/>
                <w:sz w:val="18"/>
                <w:szCs w:val="18"/>
              </w:rPr>
              <w:t>近三年牵头开发重点行业、新职业、新工种技能人才评价技术资源每项1分；参与开发每项0.5分。</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2" w:hRule="atLeast"/>
          <w:jc w:val="center"/>
        </w:trPr>
        <w:tc>
          <w:tcPr>
            <w:tcW w:w="1282" w:type="dxa"/>
            <w:vMerge w:val="continue"/>
            <w:vAlign w:val="center"/>
          </w:tcPr>
          <w:p>
            <w:pPr>
              <w:widowControl/>
              <w:spacing w:line="200" w:lineRule="exact"/>
              <w:jc w:val="center"/>
              <w:textAlignment w:val="baseline"/>
              <w:rPr>
                <w:rFonts w:hint="default"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5742" w:type="dxa"/>
            <w:gridSpan w:val="2"/>
            <w:vAlign w:val="center"/>
          </w:tcPr>
          <w:p>
            <w:pPr>
              <w:widowControl/>
              <w:spacing w:line="200" w:lineRule="exact"/>
              <w:jc w:val="left"/>
              <w:textAlignment w:val="baseline"/>
              <w:rPr>
                <w:rFonts w:eastAsia="宋体"/>
                <w:sz w:val="18"/>
                <w:szCs w:val="18"/>
              </w:rPr>
            </w:pPr>
            <w:r>
              <w:rPr>
                <w:rFonts w:eastAsia="宋体"/>
                <w:sz w:val="18"/>
                <w:szCs w:val="18"/>
              </w:rPr>
              <w:t>近三年承办各类国家级竞赛省级选拔赛、全省技工院校嘉年华活动每项3分，承担省厅安排的对口支援、对口帮扶任务每项2分；其他任务1-2分。</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jc w:val="center"/>
        </w:trPr>
        <w:tc>
          <w:tcPr>
            <w:tcW w:w="1282" w:type="dxa"/>
            <w:vMerge w:val="continue"/>
            <w:vAlign w:val="center"/>
          </w:tcPr>
          <w:p>
            <w:pPr>
              <w:widowControl/>
              <w:spacing w:line="200" w:lineRule="exact"/>
              <w:jc w:val="center"/>
              <w:textAlignment w:val="baseline"/>
              <w:rPr>
                <w:rFonts w:hint="default"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5742" w:type="dxa"/>
            <w:gridSpan w:val="2"/>
            <w:vAlign w:val="center"/>
          </w:tcPr>
          <w:p>
            <w:pPr>
              <w:widowControl/>
              <w:spacing w:line="200" w:lineRule="exact"/>
              <w:jc w:val="left"/>
              <w:textAlignment w:val="baseline"/>
              <w:rPr>
                <w:rFonts w:eastAsia="宋体"/>
                <w:sz w:val="18"/>
                <w:szCs w:val="18"/>
              </w:rPr>
            </w:pPr>
            <w:r>
              <w:rPr>
                <w:rFonts w:eastAsia="宋体"/>
                <w:sz w:val="18"/>
                <w:szCs w:val="18"/>
              </w:rPr>
              <w:t>近三年在国家级新闻媒体上开展典型宣传每三次1分；在省级新闻媒体上开展典型宣传每五次1分。满分5分。</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center"/>
        </w:trPr>
        <w:tc>
          <w:tcPr>
            <w:tcW w:w="1282" w:type="dxa"/>
            <w:vMerge w:val="continue"/>
            <w:vAlign w:val="center"/>
          </w:tcPr>
          <w:p>
            <w:pPr>
              <w:widowControl/>
              <w:spacing w:line="200" w:lineRule="exact"/>
              <w:jc w:val="center"/>
              <w:textAlignment w:val="baseline"/>
              <w:rPr>
                <w:rFonts w:hint="default" w:eastAsia="宋体"/>
                <w:b w:val="0"/>
                <w:bCs/>
                <w:sz w:val="18"/>
                <w:szCs w:val="18"/>
              </w:rPr>
            </w:pPr>
          </w:p>
        </w:tc>
        <w:tc>
          <w:tcPr>
            <w:tcW w:w="1229" w:type="dxa"/>
            <w:vMerge w:val="restart"/>
            <w:vAlign w:val="center"/>
          </w:tcPr>
          <w:p>
            <w:pPr>
              <w:widowControl/>
              <w:spacing w:line="200" w:lineRule="exact"/>
              <w:jc w:val="center"/>
              <w:textAlignment w:val="baseline"/>
              <w:rPr>
                <w:rFonts w:eastAsia="宋体"/>
                <w:b w:val="0"/>
                <w:bCs/>
                <w:sz w:val="18"/>
                <w:szCs w:val="18"/>
              </w:rPr>
            </w:pPr>
            <w:r>
              <w:rPr>
                <w:rFonts w:eastAsia="宋体"/>
                <w:b w:val="0"/>
                <w:bCs/>
                <w:sz w:val="18"/>
                <w:szCs w:val="18"/>
              </w:rPr>
              <w:t>表彰奖励</w:t>
            </w:r>
          </w:p>
        </w:tc>
        <w:tc>
          <w:tcPr>
            <w:tcW w:w="5742" w:type="dxa"/>
            <w:gridSpan w:val="2"/>
            <w:vAlign w:val="center"/>
          </w:tcPr>
          <w:p>
            <w:pPr>
              <w:widowControl/>
              <w:spacing w:line="200" w:lineRule="exact"/>
              <w:jc w:val="left"/>
              <w:textAlignment w:val="baseline"/>
              <w:rPr>
                <w:rFonts w:eastAsia="宋体"/>
                <w:sz w:val="18"/>
                <w:szCs w:val="18"/>
              </w:rPr>
            </w:pPr>
            <w:r>
              <w:rPr>
                <w:rFonts w:eastAsia="宋体"/>
                <w:sz w:val="18"/>
                <w:szCs w:val="18"/>
              </w:rPr>
              <w:t>学校近三年获得国家级综合性表彰的每个8分；省级综合性表彰每个5分。</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14" w:hRule="atLeast"/>
          <w:jc w:val="center"/>
        </w:trPr>
        <w:tc>
          <w:tcPr>
            <w:tcW w:w="1282" w:type="dxa"/>
            <w:vMerge w:val="continue"/>
            <w:vAlign w:val="center"/>
          </w:tcPr>
          <w:p>
            <w:pPr>
              <w:widowControl/>
              <w:spacing w:line="200" w:lineRule="exact"/>
              <w:jc w:val="center"/>
              <w:textAlignment w:val="baseline"/>
              <w:rPr>
                <w:rFonts w:hint="default" w:eastAsia="宋体"/>
                <w:b w:val="0"/>
                <w:bCs/>
                <w:sz w:val="18"/>
                <w:szCs w:val="18"/>
              </w:rPr>
            </w:pPr>
          </w:p>
        </w:tc>
        <w:tc>
          <w:tcPr>
            <w:tcW w:w="1229" w:type="dxa"/>
            <w:vMerge w:val="continue"/>
            <w:vAlign w:val="center"/>
          </w:tcPr>
          <w:p>
            <w:pPr>
              <w:widowControl/>
              <w:spacing w:line="200" w:lineRule="exact"/>
              <w:jc w:val="center"/>
              <w:textAlignment w:val="baseline"/>
              <w:rPr>
                <w:rFonts w:eastAsia="宋体"/>
                <w:b w:val="0"/>
                <w:bCs/>
                <w:sz w:val="18"/>
                <w:szCs w:val="18"/>
              </w:rPr>
            </w:pPr>
          </w:p>
        </w:tc>
        <w:tc>
          <w:tcPr>
            <w:tcW w:w="5742" w:type="dxa"/>
            <w:gridSpan w:val="2"/>
            <w:vAlign w:val="center"/>
          </w:tcPr>
          <w:p>
            <w:pPr>
              <w:widowControl/>
              <w:spacing w:line="200" w:lineRule="exact"/>
              <w:jc w:val="left"/>
              <w:textAlignment w:val="baseline"/>
              <w:rPr>
                <w:rFonts w:eastAsia="宋体"/>
                <w:sz w:val="18"/>
                <w:szCs w:val="18"/>
              </w:rPr>
            </w:pPr>
            <w:r>
              <w:rPr>
                <w:rFonts w:eastAsia="宋体"/>
                <w:sz w:val="18"/>
                <w:szCs w:val="18"/>
              </w:rPr>
              <w:t>近三年师生获得中华技能大奖每个10分，全国技术能手、国务院政府特殊津贴、国家级技能大师工作室领办人每个8分；江苏大工匠每个8分，江苏工匠、江苏省有突出贡献中青年专家、省“333”工程培养对象、省级技能大师工作室领办人每个5分。竞赛获奖不重复计算。</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8" w:hRule="atLeast"/>
          <w:jc w:val="center"/>
        </w:trPr>
        <w:tc>
          <w:tcPr>
            <w:tcW w:w="2511" w:type="dxa"/>
            <w:gridSpan w:val="2"/>
            <w:vAlign w:val="center"/>
          </w:tcPr>
          <w:p>
            <w:pPr>
              <w:widowControl/>
              <w:spacing w:line="200" w:lineRule="exact"/>
              <w:jc w:val="center"/>
              <w:textAlignment w:val="baseline"/>
              <w:rPr>
                <w:rFonts w:eastAsia="宋体"/>
                <w:b w:val="0"/>
                <w:bCs/>
                <w:sz w:val="18"/>
                <w:szCs w:val="18"/>
              </w:rPr>
            </w:pPr>
            <w:r>
              <w:rPr>
                <w:rFonts w:eastAsia="宋体"/>
                <w:b w:val="0"/>
                <w:bCs/>
                <w:sz w:val="18"/>
                <w:szCs w:val="18"/>
              </w:rPr>
              <w:t>七、减分项</w:t>
            </w:r>
          </w:p>
        </w:tc>
        <w:tc>
          <w:tcPr>
            <w:tcW w:w="5742" w:type="dxa"/>
            <w:gridSpan w:val="2"/>
            <w:vAlign w:val="center"/>
          </w:tcPr>
          <w:p>
            <w:pPr>
              <w:widowControl/>
              <w:spacing w:line="200" w:lineRule="exact"/>
              <w:textAlignment w:val="baseline"/>
              <w:rPr>
                <w:rFonts w:eastAsia="宋体"/>
                <w:sz w:val="18"/>
                <w:szCs w:val="18"/>
              </w:rPr>
            </w:pPr>
            <w:r>
              <w:rPr>
                <w:rFonts w:eastAsia="宋体"/>
                <w:sz w:val="18"/>
                <w:szCs w:val="18"/>
              </w:rPr>
              <w:t>近三年未认真完成省厅下达的培训、评价、竞赛、对口支援等工作目标任务的每项扣3分；被有关媒体曝光的每次扣3分；信访举报较多，产生不良影响的扣5分。</w:t>
            </w:r>
          </w:p>
        </w:tc>
        <w:tc>
          <w:tcPr>
            <w:tcW w:w="656" w:type="dxa"/>
            <w:vAlign w:val="center"/>
          </w:tcPr>
          <w:p>
            <w:pPr>
              <w:widowControl/>
              <w:spacing w:line="20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4" w:hRule="atLeast"/>
          <w:jc w:val="center"/>
        </w:trPr>
        <w:tc>
          <w:tcPr>
            <w:tcW w:w="2511" w:type="dxa"/>
            <w:gridSpan w:val="2"/>
            <w:vAlign w:val="center"/>
          </w:tcPr>
          <w:p>
            <w:pPr>
              <w:widowControl/>
              <w:spacing w:line="200" w:lineRule="exact"/>
              <w:jc w:val="center"/>
              <w:textAlignment w:val="baseline"/>
              <w:rPr>
                <w:rFonts w:eastAsia="宋体"/>
                <w:b w:val="0"/>
                <w:bCs/>
                <w:sz w:val="18"/>
                <w:szCs w:val="18"/>
              </w:rPr>
            </w:pPr>
            <w:r>
              <w:rPr>
                <w:rFonts w:eastAsia="宋体"/>
                <w:b w:val="0"/>
                <w:bCs/>
                <w:sz w:val="18"/>
                <w:szCs w:val="18"/>
              </w:rPr>
              <w:t>八、一票否决项</w:t>
            </w:r>
          </w:p>
        </w:tc>
        <w:tc>
          <w:tcPr>
            <w:tcW w:w="5742" w:type="dxa"/>
            <w:gridSpan w:val="2"/>
            <w:vAlign w:val="center"/>
          </w:tcPr>
          <w:p>
            <w:pPr>
              <w:widowControl/>
              <w:spacing w:line="200" w:lineRule="exact"/>
              <w:jc w:val="left"/>
              <w:textAlignment w:val="baseline"/>
              <w:rPr>
                <w:rFonts w:eastAsia="宋体"/>
                <w:sz w:val="18"/>
                <w:szCs w:val="18"/>
              </w:rPr>
            </w:pPr>
            <w:r>
              <w:rPr>
                <w:rFonts w:eastAsia="宋体"/>
                <w:sz w:val="18"/>
                <w:szCs w:val="18"/>
              </w:rPr>
              <w:t>近三年有以下情况的一票否决：受到县级以上人社部门通报批评；年度评估不合格；校舍、消防、教学、实习、食品安全和学校治安、卫生防疫等措施不力，存在严重安全隐患或发生重大安全事故、治安事件、群体性事件、舆情事件；其他严重违反技工院校办学规定，造成恶劣社会影响的情况。</w:t>
            </w:r>
          </w:p>
        </w:tc>
        <w:tc>
          <w:tcPr>
            <w:tcW w:w="656" w:type="dxa"/>
            <w:vAlign w:val="center"/>
          </w:tcPr>
          <w:p>
            <w:pPr>
              <w:widowControl/>
              <w:spacing w:line="200" w:lineRule="exact"/>
              <w:jc w:val="center"/>
              <w:textAlignment w:val="baseline"/>
              <w:rPr>
                <w:rFonts w:eastAsia="宋体"/>
                <w:sz w:val="18"/>
                <w:szCs w:val="18"/>
              </w:rPr>
            </w:pPr>
          </w:p>
        </w:tc>
      </w:tr>
    </w:tbl>
    <w:p>
      <w:pPr>
        <w:widowControl/>
        <w:textAlignment w:val="baseline"/>
        <w:rPr>
          <w:rFonts w:hint="default"/>
          <w:sz w:val="24"/>
        </w:rPr>
      </w:pPr>
    </w:p>
    <w:p>
      <w:pPr>
        <w:widowControl/>
        <w:textAlignment w:val="baseline"/>
        <w:rPr>
          <w:rFonts w:hint="default"/>
          <w:sz w:val="24"/>
        </w:rPr>
      </w:pPr>
    </w:p>
    <w:p>
      <w:pPr>
        <w:widowControl/>
        <w:spacing w:line="590" w:lineRule="exact"/>
        <w:rPr>
          <w:rFonts w:hint="default" w:eastAsia="方正黑体_GBK"/>
          <w:szCs w:val="4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A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2021-07-23T03:03:31Z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