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hint="default" w:eastAsia="方正黑体_GBK"/>
          <w:szCs w:val="48"/>
        </w:rPr>
      </w:pPr>
      <w:r>
        <w:rPr>
          <w:rFonts w:hint="default" w:ascii="Times New Roman" w:eastAsia="方正黑体_GBK"/>
          <w:szCs w:val="48"/>
        </w:rPr>
        <w:t>附件2</w:t>
      </w:r>
    </w:p>
    <w:p>
      <w:pPr>
        <w:widowControl/>
        <w:spacing w:line="550" w:lineRule="exact"/>
        <w:rPr>
          <w:rFonts w:hint="default" w:ascii="Times New Roman" w:eastAsia="方正黑体_GBK"/>
          <w:spacing w:val="-10"/>
          <w:sz w:val="44"/>
          <w:szCs w:val="44"/>
        </w:rPr>
      </w:pPr>
    </w:p>
    <w:p>
      <w:pPr>
        <w:widowControl/>
        <w:spacing w:line="550" w:lineRule="exact"/>
        <w:jc w:val="center"/>
        <w:rPr>
          <w:rFonts w:eastAsia="方正小标宋_GBK"/>
          <w:sz w:val="44"/>
          <w:szCs w:val="44"/>
        </w:rPr>
      </w:pPr>
      <w:r>
        <w:rPr>
          <w:rFonts w:hint="default" w:eastAsia="方正小标宋_GBK"/>
          <w:sz w:val="44"/>
          <w:szCs w:val="44"/>
        </w:rPr>
        <w:t>江苏省技工院校品牌特色专业群实施</w:t>
      </w:r>
      <w:r>
        <w:rPr>
          <w:rFonts w:eastAsia="方正小标宋_GBK"/>
          <w:sz w:val="44"/>
          <w:szCs w:val="44"/>
        </w:rPr>
        <w:t>方案</w:t>
      </w:r>
    </w:p>
    <w:p>
      <w:pPr>
        <w:widowControl/>
        <w:spacing w:line="550" w:lineRule="exact"/>
        <w:rPr>
          <w:rFonts w:hint="default"/>
          <w:spacing w:val="-10"/>
          <w:szCs w:val="48"/>
        </w:rPr>
      </w:pPr>
    </w:p>
    <w:p>
      <w:pPr>
        <w:widowControl w:val="0"/>
        <w:spacing w:line="550" w:lineRule="exact"/>
        <w:ind w:firstLine="640" w:firstLineChars="200"/>
        <w:rPr>
          <w:spacing w:val="0"/>
          <w:szCs w:val="48"/>
        </w:rPr>
      </w:pPr>
      <w:r>
        <w:rPr>
          <w:rFonts w:hint="default"/>
          <w:spacing w:val="0"/>
          <w:szCs w:val="48"/>
        </w:rPr>
        <w:t>为贯彻落实《国务院关于印发国家职业教育改革实施方案的通知》（</w:t>
      </w:r>
      <w:r>
        <w:rPr>
          <w:spacing w:val="0"/>
          <w:szCs w:val="48"/>
        </w:rPr>
        <w:t>国发〔2019〕4号</w:t>
      </w:r>
      <w:r>
        <w:rPr>
          <w:rFonts w:hint="default"/>
          <w:spacing w:val="0"/>
          <w:szCs w:val="48"/>
        </w:rPr>
        <w:t>）文件精神，提升技工教育对产业的贡献度，打造一批与我省重点培育先进制造业集群深度融合的品牌特色专业群，特制定本方案。</w:t>
      </w:r>
    </w:p>
    <w:p>
      <w:pPr>
        <w:widowControl w:val="0"/>
        <w:spacing w:line="550" w:lineRule="exact"/>
        <w:ind w:firstLine="640" w:firstLineChars="200"/>
        <w:rPr>
          <w:rFonts w:eastAsia="方正黑体_GBK"/>
          <w:kern w:val="0"/>
          <w:szCs w:val="32"/>
        </w:rPr>
      </w:pPr>
      <w:r>
        <w:rPr>
          <w:rFonts w:eastAsia="方正黑体_GBK"/>
          <w:kern w:val="0"/>
          <w:szCs w:val="32"/>
        </w:rPr>
        <w:t>一、建设目标</w:t>
      </w:r>
    </w:p>
    <w:p>
      <w:pPr>
        <w:widowControl w:val="0"/>
        <w:spacing w:line="550" w:lineRule="exact"/>
        <w:ind w:firstLine="640" w:firstLineChars="200"/>
        <w:rPr>
          <w:spacing w:val="0"/>
          <w:szCs w:val="48"/>
        </w:rPr>
      </w:pPr>
      <w:r>
        <w:rPr>
          <w:rFonts w:hint="default"/>
          <w:spacing w:val="0"/>
          <w:szCs w:val="48"/>
        </w:rPr>
        <w:t>聚焦我省重点培育的13个</w:t>
      </w:r>
      <w:r>
        <w:rPr>
          <w:spacing w:val="0"/>
          <w:szCs w:val="48"/>
        </w:rPr>
        <w:t>先进制造业集群</w:t>
      </w:r>
      <w:r>
        <w:rPr>
          <w:rFonts w:hint="default"/>
          <w:spacing w:val="0"/>
          <w:szCs w:val="48"/>
        </w:rPr>
        <w:t>，依托技工院校优势特色专业，健全对接产业、动态调整、自我完善的专业群建设发展机制。全省计划</w:t>
      </w:r>
      <w:r>
        <w:rPr>
          <w:spacing w:val="0"/>
          <w:szCs w:val="48"/>
        </w:rPr>
        <w:t>每年建设</w:t>
      </w:r>
      <w:r>
        <w:rPr>
          <w:rFonts w:hint="default"/>
          <w:spacing w:val="0"/>
          <w:szCs w:val="48"/>
        </w:rPr>
        <w:t>10个左右品牌特色专业群，充分发挥专业群的集聚效应和服务功能，实现人才培养供给侧和产业需求侧结构要素全方位融合</w:t>
      </w:r>
      <w:r>
        <w:rPr>
          <w:spacing w:val="0"/>
          <w:szCs w:val="48"/>
        </w:rPr>
        <w:t>，</w:t>
      </w:r>
      <w:r>
        <w:rPr>
          <w:rFonts w:hint="default"/>
          <w:spacing w:val="0"/>
          <w:szCs w:val="48"/>
        </w:rPr>
        <w:t>提升技能人才培养水平。</w:t>
      </w:r>
    </w:p>
    <w:p>
      <w:pPr>
        <w:widowControl w:val="0"/>
        <w:spacing w:line="550" w:lineRule="exact"/>
        <w:ind w:firstLine="640" w:firstLineChars="200"/>
        <w:rPr>
          <w:rFonts w:hint="default" w:eastAsia="方正黑体_GBK"/>
          <w:kern w:val="0"/>
          <w:szCs w:val="32"/>
        </w:rPr>
      </w:pPr>
      <w:r>
        <w:rPr>
          <w:rFonts w:eastAsia="方正黑体_GBK"/>
          <w:kern w:val="0"/>
          <w:szCs w:val="32"/>
        </w:rPr>
        <w:t>二、</w:t>
      </w:r>
      <w:r>
        <w:rPr>
          <w:rFonts w:hint="default" w:eastAsia="方正黑体_GBK"/>
          <w:kern w:val="0"/>
          <w:szCs w:val="32"/>
        </w:rPr>
        <w:t>主要</w:t>
      </w:r>
      <w:r>
        <w:rPr>
          <w:rFonts w:eastAsia="方正黑体_GBK"/>
          <w:kern w:val="0"/>
          <w:szCs w:val="32"/>
        </w:rPr>
        <w:t>任务</w:t>
      </w:r>
    </w:p>
    <w:p>
      <w:pPr>
        <w:widowControl w:val="0"/>
        <w:spacing w:line="550" w:lineRule="exact"/>
        <w:ind w:firstLine="640" w:firstLineChars="200"/>
        <w:rPr>
          <w:rFonts w:hint="default"/>
          <w:spacing w:val="0"/>
          <w:szCs w:val="48"/>
        </w:rPr>
      </w:pPr>
      <w:r>
        <w:rPr>
          <w:rFonts w:hint="default" w:eastAsia="方正楷体_GBK"/>
          <w:kern w:val="0"/>
          <w:szCs w:val="32"/>
        </w:rPr>
        <w:t>（一）完善专业与产业融合发展机制。</w:t>
      </w:r>
      <w:r>
        <w:rPr>
          <w:rFonts w:hint="default"/>
          <w:spacing w:val="0"/>
          <w:szCs w:val="48"/>
        </w:rPr>
        <w:t>建立</w:t>
      </w:r>
      <w:r>
        <w:rPr>
          <w:spacing w:val="0"/>
          <w:szCs w:val="48"/>
        </w:rPr>
        <w:t>专业建设指导委员会，</w:t>
      </w:r>
      <w:r>
        <w:rPr>
          <w:rFonts w:hint="default"/>
          <w:spacing w:val="0"/>
          <w:szCs w:val="48"/>
        </w:rPr>
        <w:t>选聘一批行业企业专家，研究把握产业技能人才需求，科学布局和设置学校专业群及细分专业方向，提升学校专业</w:t>
      </w:r>
      <w:r>
        <w:rPr>
          <w:spacing w:val="0"/>
          <w:szCs w:val="48"/>
        </w:rPr>
        <w:t>群发展</w:t>
      </w:r>
      <w:r>
        <w:rPr>
          <w:rFonts w:hint="default"/>
          <w:spacing w:val="0"/>
          <w:szCs w:val="48"/>
        </w:rPr>
        <w:t>规划水平，提升</w:t>
      </w:r>
      <w:r>
        <w:rPr>
          <w:spacing w:val="0"/>
          <w:szCs w:val="48"/>
        </w:rPr>
        <w:t>专业建设与产业发展</w:t>
      </w:r>
      <w:r>
        <w:rPr>
          <w:rFonts w:hint="default"/>
          <w:spacing w:val="0"/>
          <w:szCs w:val="48"/>
        </w:rPr>
        <w:t>的匹</w:t>
      </w:r>
      <w:r>
        <w:rPr>
          <w:spacing w:val="0"/>
          <w:szCs w:val="48"/>
        </w:rPr>
        <w:t>配度。</w:t>
      </w:r>
      <w:r>
        <w:rPr>
          <w:rFonts w:hint="default"/>
          <w:spacing w:val="0"/>
          <w:szCs w:val="48"/>
        </w:rPr>
        <w:t>建立学校</w:t>
      </w:r>
      <w:r>
        <w:rPr>
          <w:spacing w:val="0"/>
          <w:szCs w:val="48"/>
        </w:rPr>
        <w:t>专业动态调整机制</w:t>
      </w:r>
      <w:r>
        <w:rPr>
          <w:rFonts w:hint="default"/>
          <w:spacing w:val="0"/>
          <w:szCs w:val="48"/>
        </w:rPr>
        <w:t>，持续开展新专业开发和老专业更新。牵头或参与建设行业、企业评价规范，开发评价题库资源，探索产教融合新机制、校企合作新形式。</w:t>
      </w:r>
    </w:p>
    <w:p>
      <w:pPr>
        <w:widowControl w:val="0"/>
        <w:spacing w:line="550" w:lineRule="exact"/>
        <w:ind w:firstLine="640" w:firstLineChars="200"/>
        <w:rPr>
          <w:rFonts w:hint="default"/>
          <w:spacing w:val="0"/>
          <w:szCs w:val="48"/>
        </w:rPr>
      </w:pPr>
      <w:r>
        <w:rPr>
          <w:rFonts w:hint="default" w:eastAsia="方正楷体_GBK"/>
          <w:kern w:val="0"/>
          <w:szCs w:val="32"/>
        </w:rPr>
        <w:t>（二）加强校企“双元”育人机制建设。</w:t>
      </w:r>
      <w:r>
        <w:rPr>
          <w:rFonts w:hint="default"/>
          <w:spacing w:val="0"/>
          <w:szCs w:val="48"/>
        </w:rPr>
        <w:t>坚持产教融合、工学一体，坚持企业全过程深度参与人才培养的主体地位，实现校企共同招生、共同制订人才培养计划、共同实施教学过程、共同开展质量评价、共同协商就业。探索建立技工教育集团，积极开展集团化办学实践。积极开展企业生产基地、联合实训基地、创新基地、实验室、企业大师教学工作站、职工培训基地等校内育人载体建设。积极开展产业学院、企业教学工作站、校企联合研发中心、学生实践基地等企业育人载体建设。</w:t>
      </w:r>
    </w:p>
    <w:p>
      <w:pPr>
        <w:widowControl w:val="0"/>
        <w:spacing w:line="550" w:lineRule="exact"/>
        <w:ind w:firstLine="640" w:firstLineChars="200"/>
        <w:rPr>
          <w:rFonts w:hint="default"/>
          <w:spacing w:val="0"/>
          <w:szCs w:val="48"/>
        </w:rPr>
      </w:pPr>
      <w:r>
        <w:rPr>
          <w:rFonts w:hint="default" w:eastAsia="方正楷体_GBK"/>
          <w:kern w:val="0"/>
          <w:szCs w:val="32"/>
        </w:rPr>
        <w:t>（三）推动校企师资互通共建。</w:t>
      </w:r>
      <w:r>
        <w:rPr>
          <w:rFonts w:hint="default"/>
          <w:spacing w:val="0"/>
          <w:szCs w:val="48"/>
        </w:rPr>
        <w:t>依托产教融合型企业，建设专业群教师实践基地，提升专业教师生产实践能力。组建一支由行业专家、企业工程技术人员、企业管理人才、企业技能大师组成的企业兼职教师队伍。建立完善师资队伍培养机制，畅通教师成长通道。依托名师工作室、教学团队及企业资源，校企联合培育专业群教师。</w:t>
      </w:r>
    </w:p>
    <w:p>
      <w:pPr>
        <w:widowControl w:val="0"/>
        <w:spacing w:line="550" w:lineRule="exact"/>
        <w:ind w:firstLine="640" w:firstLineChars="200"/>
        <w:rPr>
          <w:rFonts w:hint="default" w:eastAsia="方正黑体_GBK"/>
          <w:kern w:val="0"/>
          <w:szCs w:val="32"/>
        </w:rPr>
      </w:pPr>
      <w:r>
        <w:rPr>
          <w:rFonts w:hint="default" w:eastAsia="方正楷体_GBK"/>
          <w:kern w:val="0"/>
          <w:szCs w:val="32"/>
        </w:rPr>
        <w:t>（四）深化专业课程教学改革。</w:t>
      </w:r>
      <w:r>
        <w:rPr>
          <w:rFonts w:hint="default"/>
          <w:spacing w:val="0"/>
          <w:szCs w:val="48"/>
        </w:rPr>
        <w:t>深入推进一体化课程教学改革，按照专业设置与产业需求对接、课程内容与职业标准对接、教学过程与生产过程对接的要求，优化</w:t>
      </w:r>
      <w:r>
        <w:rPr>
          <w:rFonts w:hint="default" w:ascii="Times New Roman" w:cs="Times New Roman"/>
          <w:kern w:val="0"/>
          <w:szCs w:val="32"/>
        </w:rPr>
        <w:t>一体化</w:t>
      </w:r>
      <w:r>
        <w:rPr>
          <w:rFonts w:hint="default"/>
          <w:spacing w:val="0"/>
          <w:szCs w:val="48"/>
        </w:rPr>
        <w:t>课程体系，</w:t>
      </w:r>
      <w:r>
        <w:rPr>
          <w:rFonts w:ascii="Times New Roman" w:cs="Times New Roman"/>
          <w:kern w:val="0"/>
          <w:szCs w:val="32"/>
        </w:rPr>
        <w:t>创设</w:t>
      </w:r>
      <w:r>
        <w:rPr>
          <w:rFonts w:hint="default" w:ascii="Times New Roman" w:cs="Times New Roman"/>
          <w:kern w:val="0"/>
          <w:szCs w:val="32"/>
        </w:rPr>
        <w:t>一体化教学情境，提升一体化教学成效。充分利用现代教育技术手段，积极开展微课、慕课、云课堂建设与推广工作，加强数字化课程资源建设。适度增加实践类、活动类、研究性课程的比重。</w:t>
      </w:r>
    </w:p>
    <w:p>
      <w:pPr>
        <w:widowControl w:val="0"/>
        <w:spacing w:line="550" w:lineRule="exact"/>
        <w:ind w:firstLine="640" w:firstLineChars="200"/>
        <w:rPr>
          <w:rFonts w:eastAsia="方正楷体_GBK"/>
          <w:kern w:val="0"/>
          <w:szCs w:val="32"/>
        </w:rPr>
      </w:pPr>
      <w:r>
        <w:rPr>
          <w:rFonts w:hint="default" w:eastAsia="方正楷体_GBK"/>
          <w:kern w:val="0"/>
          <w:szCs w:val="32"/>
        </w:rPr>
        <w:t>（五）注重职业技能竞赛。</w:t>
      </w:r>
      <w:r>
        <w:rPr>
          <w:rFonts w:hint="default" w:ascii="Times New Roman" w:cs="Times New Roman"/>
          <w:kern w:val="0"/>
          <w:szCs w:val="32"/>
        </w:rPr>
        <w:t>积极开展高水平技能大赛成果转化工作，借鉴吸收世界技能大赛等高水平赛事的理念、做法，推动专业建设接轨世界先进水平。从优化专业人才培养方案、改革人才培养模式、转变人才评价方式、重构教学情境等方面入手，将高水平赛事中新理念、新标准、新规范、新要求，转化为专业建设的新成果。积极争取在专业群中设立世赛集训基地，聘请高水平竞赛专家组成员共同开展竞赛与专业建设的研究实践，带动提升专业群建设水平。</w:t>
      </w:r>
    </w:p>
    <w:p>
      <w:pPr>
        <w:widowControl w:val="0"/>
        <w:spacing w:line="550" w:lineRule="exact"/>
        <w:ind w:firstLine="640" w:firstLineChars="200"/>
        <w:rPr>
          <w:rFonts w:hint="default" w:eastAsia="方正楷体_GBK"/>
          <w:kern w:val="0"/>
          <w:szCs w:val="32"/>
        </w:rPr>
      </w:pPr>
      <w:r>
        <w:rPr>
          <w:rFonts w:hint="default" w:eastAsia="方正楷体_GBK"/>
          <w:kern w:val="0"/>
          <w:szCs w:val="32"/>
        </w:rPr>
        <w:t>（六）推进专业办学国际化。</w:t>
      </w:r>
      <w:r>
        <w:rPr>
          <w:rFonts w:hint="default"/>
          <w:spacing w:val="0"/>
          <w:szCs w:val="48"/>
        </w:rPr>
        <w:t>学习借鉴国外优质职业教育理念、课程体系、教学模式，积极开展中外合作办学、中外师资交流，在专业群中实施“双元制”本土化改革试点工作，引进国际通用职业资格标准、师资培训体系、人才培养模式。</w:t>
      </w:r>
    </w:p>
    <w:p>
      <w:pPr>
        <w:widowControl w:val="0"/>
        <w:spacing w:line="550" w:lineRule="exact"/>
        <w:ind w:firstLine="640" w:firstLineChars="200"/>
        <w:rPr>
          <w:rFonts w:hint="default" w:eastAsia="方正楷体_GBK"/>
          <w:kern w:val="0"/>
          <w:szCs w:val="32"/>
        </w:rPr>
      </w:pPr>
      <w:r>
        <w:rPr>
          <w:rFonts w:hint="default" w:eastAsia="方正楷体_GBK"/>
          <w:kern w:val="0"/>
          <w:szCs w:val="32"/>
        </w:rPr>
        <w:t>（七）加强职业技能培训。</w:t>
      </w:r>
      <w:r>
        <w:rPr>
          <w:rFonts w:hint="default"/>
          <w:spacing w:val="0"/>
          <w:szCs w:val="48"/>
        </w:rPr>
        <w:t>围绕产业链、创新链及不断发展的新技术、新产业、新业态，积极参与社会服务，面向行业、企业和社会开展多种形式的职业技能培训服务。通过广泛开展职业技能培训，增强行业、企业认知，拓展专业发展视角，提高教师能力水平。</w:t>
      </w:r>
    </w:p>
    <w:p>
      <w:pPr>
        <w:widowControl w:val="0"/>
        <w:spacing w:line="550" w:lineRule="exact"/>
        <w:ind w:firstLine="640" w:firstLineChars="200"/>
        <w:rPr>
          <w:rFonts w:eastAsia="方正黑体_GBK"/>
          <w:kern w:val="0"/>
          <w:szCs w:val="32"/>
        </w:rPr>
      </w:pPr>
      <w:r>
        <w:rPr>
          <w:rFonts w:eastAsia="方正黑体_GBK"/>
          <w:kern w:val="0"/>
          <w:szCs w:val="32"/>
        </w:rPr>
        <w:t>三、</w:t>
      </w:r>
      <w:r>
        <w:rPr>
          <w:rFonts w:hint="default" w:eastAsia="方正黑体_GBK"/>
          <w:kern w:val="0"/>
          <w:szCs w:val="32"/>
        </w:rPr>
        <w:t>申报</w:t>
      </w:r>
      <w:r>
        <w:rPr>
          <w:rFonts w:eastAsia="方正黑体_GBK"/>
          <w:kern w:val="0"/>
          <w:szCs w:val="32"/>
        </w:rPr>
        <w:t>条件</w:t>
      </w:r>
    </w:p>
    <w:p>
      <w:pPr>
        <w:widowControl w:val="0"/>
        <w:spacing w:line="550" w:lineRule="exact"/>
        <w:ind w:firstLine="640" w:firstLineChars="200"/>
        <w:rPr>
          <w:rFonts w:eastAsia="方正楷体_GBK"/>
          <w:kern w:val="0"/>
          <w:szCs w:val="32"/>
        </w:rPr>
      </w:pPr>
      <w:r>
        <w:rPr>
          <w:rFonts w:eastAsia="方正楷体_GBK"/>
          <w:kern w:val="0"/>
          <w:szCs w:val="32"/>
        </w:rPr>
        <w:t>（一）</w:t>
      </w:r>
      <w:r>
        <w:rPr>
          <w:rFonts w:hint="default" w:eastAsia="方正楷体_GBK"/>
          <w:kern w:val="0"/>
          <w:szCs w:val="32"/>
        </w:rPr>
        <w:t>建设基础。</w:t>
      </w:r>
      <w:r>
        <w:rPr>
          <w:rFonts w:hint="default"/>
          <w:spacing w:val="0"/>
          <w:szCs w:val="48"/>
        </w:rPr>
        <w:t>申报专业群由3至5个专业基础相通、技术领域相近、职业岗位相关、教学资源共享的专业构成，其中至少有一个省级示范专业、重点专业或特色专业。</w:t>
      </w:r>
      <w:r>
        <w:rPr>
          <w:spacing w:val="0"/>
          <w:szCs w:val="48"/>
        </w:rPr>
        <w:t>申报</w:t>
      </w:r>
      <w:r>
        <w:rPr>
          <w:rFonts w:hint="default"/>
          <w:spacing w:val="0"/>
          <w:szCs w:val="48"/>
        </w:rPr>
        <w:t>专业群定位准确，与地方主导产业契合度高。专业特色鲜明，有较强社会影响力。专业群</w:t>
      </w:r>
      <w:r>
        <w:rPr>
          <w:spacing w:val="0"/>
          <w:szCs w:val="48"/>
        </w:rPr>
        <w:t>全</w:t>
      </w:r>
      <w:r>
        <w:rPr>
          <w:rFonts w:hint="default"/>
          <w:spacing w:val="0"/>
          <w:szCs w:val="48"/>
        </w:rPr>
        <w:t>日</w:t>
      </w:r>
      <w:r>
        <w:rPr>
          <w:spacing w:val="0"/>
          <w:szCs w:val="48"/>
        </w:rPr>
        <w:t>制</w:t>
      </w:r>
      <w:r>
        <w:rPr>
          <w:rFonts w:hint="default"/>
          <w:spacing w:val="0"/>
          <w:szCs w:val="48"/>
        </w:rPr>
        <w:t>技工教育在校生规模不少于</w:t>
      </w:r>
      <w:r>
        <w:rPr>
          <w:spacing w:val="0"/>
          <w:szCs w:val="48"/>
        </w:rPr>
        <w:t>500</w:t>
      </w:r>
      <w:r>
        <w:rPr>
          <w:rFonts w:hint="default"/>
          <w:spacing w:val="0"/>
          <w:szCs w:val="48"/>
        </w:rPr>
        <w:t>人，生均实习实训场地建筑面积不少于7.5平方米，加工制造类设施设备总值不少于1500万元，其他类设施设备总值不少于800万元，实习工位数满足两人一岗要求</w:t>
      </w:r>
      <w:r>
        <w:rPr>
          <w:spacing w:val="0"/>
          <w:szCs w:val="48"/>
        </w:rPr>
        <w:t>。</w:t>
      </w:r>
    </w:p>
    <w:p>
      <w:pPr>
        <w:widowControl w:val="0"/>
        <w:numPr>
          <w:ilvl w:val="0"/>
          <w:numId w:val="1"/>
        </w:numPr>
        <w:spacing w:line="550" w:lineRule="exact"/>
        <w:ind w:firstLine="640"/>
        <w:textAlignment w:val="baseline"/>
        <w:rPr>
          <w:rFonts w:eastAsia="方正楷体_GBK"/>
          <w:kern w:val="0"/>
          <w:szCs w:val="32"/>
        </w:rPr>
      </w:pPr>
      <w:r>
        <w:rPr>
          <w:rFonts w:eastAsia="方正楷体_GBK"/>
          <w:kern w:val="0"/>
          <w:szCs w:val="32"/>
        </w:rPr>
        <w:t>师资</w:t>
      </w:r>
      <w:r>
        <w:rPr>
          <w:rFonts w:hint="default" w:eastAsia="方正楷体_GBK"/>
          <w:kern w:val="0"/>
          <w:szCs w:val="32"/>
        </w:rPr>
        <w:t>队伍。</w:t>
      </w:r>
      <w:r>
        <w:rPr>
          <w:rFonts w:hint="default"/>
          <w:spacing w:val="0"/>
          <w:szCs w:val="48"/>
        </w:rPr>
        <w:t>专业群内学制教育</w:t>
      </w:r>
      <w:r>
        <w:rPr>
          <w:spacing w:val="0"/>
          <w:szCs w:val="48"/>
        </w:rPr>
        <w:t>师生比不低于1:18</w:t>
      </w:r>
      <w:r>
        <w:rPr>
          <w:rFonts w:hint="default"/>
          <w:spacing w:val="0"/>
          <w:szCs w:val="48"/>
        </w:rPr>
        <w:t>，</w:t>
      </w:r>
      <w:r>
        <w:rPr>
          <w:spacing w:val="0"/>
          <w:szCs w:val="48"/>
        </w:rPr>
        <w:t>兼职教师人数不得超过教师总数的</w:t>
      </w:r>
      <w:r>
        <w:rPr>
          <w:rFonts w:hint="default"/>
          <w:spacing w:val="0"/>
          <w:szCs w:val="48"/>
        </w:rPr>
        <w:t>30%，</w:t>
      </w:r>
      <w:r>
        <w:rPr>
          <w:spacing w:val="0"/>
          <w:szCs w:val="48"/>
        </w:rPr>
        <w:t>具有企业实践经验的教师应占教师队伍总数的25%以上</w:t>
      </w:r>
      <w:r>
        <w:rPr>
          <w:rFonts w:hint="default"/>
          <w:spacing w:val="0"/>
          <w:szCs w:val="48"/>
        </w:rPr>
        <w:t>，</w:t>
      </w:r>
      <w:r>
        <w:rPr>
          <w:spacing w:val="0"/>
          <w:szCs w:val="48"/>
        </w:rPr>
        <w:t>技术理论课教师和实习指导教师应不低于教师总数的70%</w:t>
      </w:r>
      <w:r>
        <w:rPr>
          <w:rFonts w:hint="default"/>
          <w:spacing w:val="0"/>
          <w:szCs w:val="48"/>
        </w:rPr>
        <w:t>，一体化率不低于70%，具有高级职称或高级技师职业资格的人数不少于总数的40%。有较为完善的师资梯队培养机制。</w:t>
      </w:r>
    </w:p>
    <w:p>
      <w:pPr>
        <w:widowControl w:val="0"/>
        <w:numPr>
          <w:ilvl w:val="0"/>
          <w:numId w:val="1"/>
        </w:numPr>
        <w:spacing w:line="550" w:lineRule="exact"/>
        <w:ind w:firstLine="640"/>
        <w:textAlignment w:val="baseline"/>
        <w:rPr>
          <w:rFonts w:hint="default" w:eastAsia="方正楷体_GBK"/>
          <w:kern w:val="0"/>
          <w:szCs w:val="32"/>
        </w:rPr>
      </w:pPr>
      <w:r>
        <w:rPr>
          <w:rFonts w:eastAsia="方正楷体_GBK"/>
          <w:kern w:val="0"/>
          <w:szCs w:val="32"/>
        </w:rPr>
        <w:t>竞赛成果</w:t>
      </w:r>
      <w:r>
        <w:rPr>
          <w:rFonts w:hint="default" w:eastAsia="方正楷体_GBK"/>
          <w:kern w:val="0"/>
          <w:szCs w:val="32"/>
        </w:rPr>
        <w:t>。</w:t>
      </w:r>
      <w:r>
        <w:rPr>
          <w:rFonts w:hint="default"/>
          <w:spacing w:val="0"/>
          <w:szCs w:val="48"/>
        </w:rPr>
        <w:t>专业</w:t>
      </w:r>
      <w:r>
        <w:rPr>
          <w:spacing w:val="0"/>
          <w:szCs w:val="48"/>
        </w:rPr>
        <w:t>群内各专业</w:t>
      </w:r>
      <w:r>
        <w:rPr>
          <w:rFonts w:hint="default"/>
          <w:spacing w:val="0"/>
          <w:szCs w:val="48"/>
        </w:rPr>
        <w:t>积极参加</w:t>
      </w:r>
      <w:r>
        <w:rPr>
          <w:spacing w:val="0"/>
          <w:szCs w:val="48"/>
        </w:rPr>
        <w:t>各级各类</w:t>
      </w:r>
      <w:r>
        <w:rPr>
          <w:rFonts w:hint="default"/>
          <w:spacing w:val="0"/>
          <w:szCs w:val="48"/>
        </w:rPr>
        <w:t>技能大赛，获得过国家一类职业技能竞赛前6名或省级一类职业技能竞赛前3名成绩</w:t>
      </w:r>
      <w:r>
        <w:rPr>
          <w:spacing w:val="0"/>
          <w:szCs w:val="48"/>
        </w:rPr>
        <w:t>。</w:t>
      </w:r>
      <w:r>
        <w:rPr>
          <w:rFonts w:hint="default"/>
          <w:spacing w:val="0"/>
          <w:szCs w:val="48"/>
        </w:rPr>
        <w:t>按照世赛、国赛标准建设集训基地，举办“青苗班”。承办过与</w:t>
      </w:r>
      <w:r>
        <w:rPr>
          <w:spacing w:val="0"/>
          <w:szCs w:val="48"/>
        </w:rPr>
        <w:t>专业群相关的</w:t>
      </w:r>
      <w:r>
        <w:rPr>
          <w:rFonts w:hint="default"/>
          <w:spacing w:val="0"/>
          <w:szCs w:val="48"/>
        </w:rPr>
        <w:t>市级及以上职业技能竞赛活动。</w:t>
      </w:r>
    </w:p>
    <w:p>
      <w:pPr>
        <w:widowControl w:val="0"/>
        <w:spacing w:line="550" w:lineRule="exact"/>
        <w:ind w:firstLine="640" w:firstLineChars="200"/>
        <w:rPr>
          <w:rFonts w:eastAsia="方正楷体_GBK"/>
          <w:kern w:val="0"/>
          <w:szCs w:val="32"/>
        </w:rPr>
      </w:pPr>
      <w:r>
        <w:rPr>
          <w:rFonts w:hint="default" w:eastAsia="方正楷体_GBK"/>
          <w:kern w:val="0"/>
          <w:szCs w:val="32"/>
        </w:rPr>
        <w:t>（四）</w:t>
      </w:r>
      <w:r>
        <w:rPr>
          <w:rFonts w:eastAsia="方正楷体_GBK"/>
          <w:kern w:val="0"/>
          <w:szCs w:val="32"/>
        </w:rPr>
        <w:t>校企合作</w:t>
      </w:r>
      <w:r>
        <w:rPr>
          <w:rFonts w:hint="default" w:eastAsia="方正楷体_GBK"/>
          <w:kern w:val="0"/>
          <w:szCs w:val="32"/>
        </w:rPr>
        <w:t>。</w:t>
      </w:r>
      <w:r>
        <w:rPr>
          <w:rFonts w:hint="default"/>
          <w:spacing w:val="0"/>
          <w:szCs w:val="48"/>
        </w:rPr>
        <w:t>专业群有校企合作、产学研相结合的制度，产教融合有目标，校企合作有规划。专业群内各专业都有1个及以上深度合作的大中型企业。形成了产教融合资源共享、专业特色共建、招生就业联动、人才共育共享及社会服务共担等机制。开设了企业“订单班”、“冠名班”，校企共同招生招工、共商专业建设、共建实训基地、共搭管理平台、共评培养质量。</w:t>
      </w:r>
    </w:p>
    <w:p>
      <w:pPr>
        <w:widowControl w:val="0"/>
        <w:spacing w:line="550" w:lineRule="exact"/>
        <w:ind w:firstLine="640" w:firstLineChars="200"/>
        <w:rPr>
          <w:rFonts w:hint="default"/>
          <w:spacing w:val="0"/>
          <w:szCs w:val="48"/>
        </w:rPr>
      </w:pPr>
      <w:r>
        <w:rPr>
          <w:rFonts w:eastAsia="方正楷体_GBK"/>
          <w:kern w:val="0"/>
          <w:szCs w:val="32"/>
        </w:rPr>
        <w:t>（五）</w:t>
      </w:r>
      <w:r>
        <w:rPr>
          <w:rFonts w:hint="default" w:eastAsia="方正楷体_GBK"/>
          <w:kern w:val="0"/>
          <w:szCs w:val="32"/>
        </w:rPr>
        <w:t>教学改革。</w:t>
      </w:r>
      <w:r>
        <w:rPr>
          <w:rFonts w:hint="default"/>
          <w:spacing w:val="0"/>
          <w:szCs w:val="48"/>
        </w:rPr>
        <w:t>专业群内</w:t>
      </w:r>
      <w:r>
        <w:rPr>
          <w:spacing w:val="0"/>
          <w:szCs w:val="48"/>
        </w:rPr>
        <w:t>各专业</w:t>
      </w:r>
      <w:r>
        <w:rPr>
          <w:rFonts w:hint="default"/>
          <w:spacing w:val="0"/>
          <w:szCs w:val="48"/>
        </w:rPr>
        <w:t>积极参与一体化课改试点，或主动按照人社部一体化课改标准实施一</w:t>
      </w:r>
      <w:r>
        <w:rPr>
          <w:spacing w:val="0"/>
          <w:szCs w:val="48"/>
        </w:rPr>
        <w:t>体化课程教学。成立有行业、企业参与的专业建设委员会。根据专业群建设要求实施课程改革，建立符合专业群重构需要</w:t>
      </w:r>
      <w:r>
        <w:rPr>
          <w:rFonts w:hint="default"/>
          <w:spacing w:val="0"/>
          <w:szCs w:val="48"/>
        </w:rPr>
        <w:t>、</w:t>
      </w:r>
      <w:r>
        <w:rPr>
          <w:spacing w:val="0"/>
          <w:szCs w:val="48"/>
        </w:rPr>
        <w:t>满足企业需求</w:t>
      </w:r>
      <w:r>
        <w:rPr>
          <w:rFonts w:hint="default"/>
          <w:spacing w:val="0"/>
          <w:szCs w:val="48"/>
        </w:rPr>
        <w:t>、反映生产新技术、新工艺、新规范</w:t>
      </w:r>
      <w:r>
        <w:rPr>
          <w:spacing w:val="0"/>
          <w:szCs w:val="48"/>
        </w:rPr>
        <w:t>的一体化课程体系。各专业制定了规范的一体化人才培养方</w:t>
      </w:r>
      <w:r>
        <w:rPr>
          <w:rFonts w:hint="default"/>
          <w:spacing w:val="0"/>
          <w:szCs w:val="48"/>
        </w:rPr>
        <w:t>案、课程标准，开发了工作页等。</w:t>
      </w:r>
    </w:p>
    <w:p>
      <w:pPr>
        <w:widowControl w:val="0"/>
        <w:spacing w:line="550" w:lineRule="exact"/>
        <w:ind w:firstLine="640" w:firstLineChars="200"/>
        <w:rPr>
          <w:rFonts w:hint="default" w:eastAsia="方正楷体_GBK"/>
          <w:kern w:val="0"/>
          <w:szCs w:val="32"/>
        </w:rPr>
      </w:pPr>
      <w:r>
        <w:rPr>
          <w:rFonts w:hint="default" w:eastAsia="方正楷体_GBK"/>
          <w:kern w:val="0"/>
          <w:szCs w:val="32"/>
        </w:rPr>
        <w:t>（六）</w:t>
      </w:r>
      <w:r>
        <w:rPr>
          <w:rFonts w:eastAsia="方正楷体_GBK"/>
          <w:kern w:val="0"/>
          <w:szCs w:val="32"/>
        </w:rPr>
        <w:t>国际化办学</w:t>
      </w:r>
      <w:r>
        <w:rPr>
          <w:rFonts w:hint="default" w:eastAsia="方正楷体_GBK"/>
          <w:kern w:val="0"/>
          <w:szCs w:val="32"/>
        </w:rPr>
        <w:t>。</w:t>
      </w:r>
      <w:r>
        <w:rPr>
          <w:rFonts w:hint="default"/>
          <w:spacing w:val="0"/>
          <w:szCs w:val="48"/>
        </w:rPr>
        <w:t>专业群积极开展国际化办学，借助海外行业协会、培训机构、职业院校的</w:t>
      </w:r>
      <w:r>
        <w:rPr>
          <w:spacing w:val="0"/>
          <w:szCs w:val="48"/>
        </w:rPr>
        <w:t>优质教育资源</w:t>
      </w:r>
      <w:r>
        <w:rPr>
          <w:rFonts w:hint="default"/>
          <w:spacing w:val="0"/>
          <w:szCs w:val="48"/>
        </w:rPr>
        <w:t>开展中外合</w:t>
      </w:r>
      <w:r>
        <w:rPr>
          <w:spacing w:val="0"/>
          <w:szCs w:val="48"/>
        </w:rPr>
        <w:t>作</w:t>
      </w:r>
      <w:r>
        <w:rPr>
          <w:rFonts w:hint="default"/>
          <w:spacing w:val="0"/>
          <w:szCs w:val="48"/>
        </w:rPr>
        <w:t>项目，引进国际通用职业资格标准和</w:t>
      </w:r>
      <w:r>
        <w:rPr>
          <w:spacing w:val="0"/>
          <w:szCs w:val="48"/>
        </w:rPr>
        <w:t>先进职业教育理念</w:t>
      </w:r>
      <w:r>
        <w:rPr>
          <w:rFonts w:hint="default"/>
          <w:spacing w:val="0"/>
          <w:szCs w:val="48"/>
        </w:rPr>
        <w:t>。</w:t>
      </w:r>
    </w:p>
    <w:p>
      <w:pPr>
        <w:widowControl w:val="0"/>
        <w:spacing w:line="550" w:lineRule="exact"/>
        <w:ind w:firstLine="640" w:firstLineChars="200"/>
        <w:rPr>
          <w:rFonts w:hint="default"/>
          <w:spacing w:val="0"/>
          <w:szCs w:val="48"/>
        </w:rPr>
      </w:pPr>
      <w:r>
        <w:rPr>
          <w:rFonts w:hint="default" w:eastAsia="方正楷体_GBK"/>
          <w:kern w:val="0"/>
          <w:szCs w:val="32"/>
        </w:rPr>
        <w:t>（七）人才评价。</w:t>
      </w:r>
      <w:r>
        <w:rPr>
          <w:rFonts w:hint="default"/>
          <w:spacing w:val="0"/>
          <w:szCs w:val="48"/>
        </w:rPr>
        <w:t>专业群积极参与重点行业、新职业、新工种技能人才评价技术资源开发工作，面向院校学生、企业职工、社会人员广泛开展职业技能等级认定，对全省技能人才评价、专业建设与发展具有引领示范作用。</w:t>
      </w:r>
    </w:p>
    <w:p>
      <w:pPr>
        <w:widowControl w:val="0"/>
        <w:spacing w:line="550" w:lineRule="exact"/>
        <w:ind w:firstLine="640" w:firstLineChars="200"/>
        <w:rPr>
          <w:rFonts w:hint="default"/>
          <w:spacing w:val="0"/>
          <w:szCs w:val="48"/>
        </w:rPr>
      </w:pPr>
      <w:r>
        <w:rPr>
          <w:rFonts w:hint="default" w:eastAsia="方正楷体_GBK"/>
          <w:kern w:val="0"/>
          <w:szCs w:val="32"/>
        </w:rPr>
        <w:t>（八）</w:t>
      </w:r>
      <w:r>
        <w:rPr>
          <w:rFonts w:eastAsia="方正楷体_GBK"/>
          <w:kern w:val="0"/>
          <w:szCs w:val="32"/>
        </w:rPr>
        <w:t>社会服务</w:t>
      </w:r>
      <w:r>
        <w:rPr>
          <w:rFonts w:hint="default" w:eastAsia="方正楷体_GBK"/>
          <w:kern w:val="0"/>
          <w:szCs w:val="32"/>
        </w:rPr>
        <w:t>。</w:t>
      </w:r>
      <w:r>
        <w:rPr>
          <w:rFonts w:hint="default"/>
          <w:spacing w:val="0"/>
          <w:szCs w:val="48"/>
        </w:rPr>
        <w:t>群内专业建立毕业生就业跟踪制度，近三年专业群内学生当年就业率98%</w:t>
      </w:r>
      <w:r>
        <w:rPr>
          <w:spacing w:val="0"/>
          <w:szCs w:val="48"/>
        </w:rPr>
        <w:t>以上，用人单位、学生家长和学生满意度</w:t>
      </w:r>
      <w:r>
        <w:rPr>
          <w:rFonts w:hint="default"/>
          <w:spacing w:val="0"/>
          <w:szCs w:val="48"/>
        </w:rPr>
        <w:t>85</w:t>
      </w:r>
      <w:r>
        <w:rPr>
          <w:spacing w:val="0"/>
          <w:szCs w:val="48"/>
        </w:rPr>
        <w:t>%以上。</w:t>
      </w:r>
      <w:r>
        <w:rPr>
          <w:rFonts w:hint="default"/>
          <w:spacing w:val="0"/>
          <w:szCs w:val="48"/>
        </w:rPr>
        <w:t>群内专业年开展</w:t>
      </w:r>
      <w:r>
        <w:rPr>
          <w:spacing w:val="0"/>
          <w:szCs w:val="48"/>
        </w:rPr>
        <w:t>职业技能培训规模不少于</w:t>
      </w:r>
      <w:r>
        <w:rPr>
          <w:rFonts w:hint="default"/>
          <w:spacing w:val="0"/>
          <w:szCs w:val="48"/>
        </w:rPr>
        <w:t>5</w:t>
      </w:r>
      <w:r>
        <w:rPr>
          <w:spacing w:val="0"/>
          <w:szCs w:val="48"/>
        </w:rPr>
        <w:t>00人（其中</w:t>
      </w:r>
      <w:r>
        <w:rPr>
          <w:rFonts w:hint="default"/>
          <w:spacing w:val="0"/>
          <w:szCs w:val="48"/>
        </w:rPr>
        <w:t>高级工以上</w:t>
      </w:r>
      <w:r>
        <w:rPr>
          <w:spacing w:val="0"/>
          <w:szCs w:val="48"/>
        </w:rPr>
        <w:t>培训占50%以上）</w:t>
      </w:r>
      <w:r>
        <w:rPr>
          <w:rFonts w:hint="default"/>
          <w:spacing w:val="0"/>
          <w:szCs w:val="48"/>
        </w:rPr>
        <w:t>，</w:t>
      </w:r>
      <w:r>
        <w:rPr>
          <w:spacing w:val="0"/>
          <w:szCs w:val="48"/>
        </w:rPr>
        <w:t>积极开展企业新型学徒制培训</w:t>
      </w:r>
      <w:r>
        <w:rPr>
          <w:rFonts w:hint="default"/>
          <w:spacing w:val="0"/>
          <w:szCs w:val="48"/>
        </w:rPr>
        <w:t>，</w:t>
      </w:r>
      <w:r>
        <w:rPr>
          <w:spacing w:val="0"/>
          <w:szCs w:val="48"/>
        </w:rPr>
        <w:t>承担部省和兄弟院校委托的师资培训任务</w:t>
      </w:r>
      <w:r>
        <w:rPr>
          <w:rFonts w:hint="default"/>
          <w:spacing w:val="0"/>
          <w:szCs w:val="48"/>
        </w:rPr>
        <w:t>，与行业企业合作开展技术革新、技术攻关并产生一定的经济社会效益。</w:t>
      </w:r>
    </w:p>
    <w:p>
      <w:pPr>
        <w:widowControl w:val="0"/>
        <w:spacing w:line="550" w:lineRule="exact"/>
        <w:ind w:firstLine="640" w:firstLineChars="200"/>
        <w:jc w:val="left"/>
        <w:rPr>
          <w:rFonts w:eastAsia="方正黑体_GBK"/>
          <w:kern w:val="0"/>
          <w:szCs w:val="32"/>
        </w:rPr>
      </w:pPr>
      <w:r>
        <w:rPr>
          <w:rFonts w:hint="default" w:eastAsia="方正黑体_GBK"/>
          <w:kern w:val="0"/>
          <w:szCs w:val="32"/>
        </w:rPr>
        <w:t>四、申报程序</w:t>
      </w:r>
    </w:p>
    <w:p>
      <w:pPr>
        <w:spacing w:line="550" w:lineRule="exact"/>
        <w:ind w:firstLine="640" w:firstLineChars="200"/>
        <w:rPr>
          <w:rFonts w:hint="default" w:ascii="Times New Roman"/>
          <w:color w:val="000000"/>
          <w:spacing w:val="0"/>
          <w:szCs w:val="48"/>
        </w:rPr>
      </w:pPr>
      <w:r>
        <w:rPr>
          <w:rFonts w:hint="default" w:ascii="Times New Roman"/>
          <w:kern w:val="0"/>
          <w:szCs w:val="32"/>
        </w:rPr>
        <w:t>（一）</w:t>
      </w:r>
      <w:r>
        <w:rPr>
          <w:rFonts w:hint="default" w:ascii="Times New Roman"/>
          <w:color w:val="000000"/>
          <w:spacing w:val="0"/>
          <w:szCs w:val="48"/>
        </w:rPr>
        <w:t>技工院校对照申报条件、评选标准进行自评，围绕主要任务制定工作方案，填报相关材料并报送至设区市人力资源和社会保障局。</w:t>
      </w:r>
    </w:p>
    <w:p>
      <w:pPr>
        <w:spacing w:line="550" w:lineRule="exact"/>
        <w:ind w:firstLine="640" w:firstLineChars="200"/>
        <w:rPr>
          <w:rFonts w:hint="default" w:ascii="Times New Roman"/>
          <w:szCs w:val="32"/>
        </w:rPr>
      </w:pPr>
      <w:r>
        <w:rPr>
          <w:rFonts w:hint="default" w:ascii="Times New Roman"/>
          <w:kern w:val="0"/>
          <w:szCs w:val="32"/>
        </w:rPr>
        <w:t>（二）</w:t>
      </w:r>
      <w:r>
        <w:rPr>
          <w:rFonts w:hint="default" w:ascii="Times New Roman"/>
          <w:color w:val="000000"/>
          <w:spacing w:val="0"/>
          <w:szCs w:val="48"/>
        </w:rPr>
        <w:t>设区市人力资源社会保障局根据申报条件要求，按照“公平、公正、公开”原则，开展品牌特色专业群项目预审、遴选工作，确定2个候选项目并按优先顺序排序后报省人力资源社会保障厅。在预审和遴选工作中要严格把握标准、规范操作程序，确保申报项目符合条件。</w:t>
      </w:r>
    </w:p>
    <w:p>
      <w:pPr>
        <w:spacing w:line="550" w:lineRule="exact"/>
        <w:ind w:firstLine="640" w:firstLineChars="200"/>
        <w:rPr>
          <w:color w:val="000000"/>
          <w:spacing w:val="0"/>
          <w:szCs w:val="48"/>
        </w:rPr>
      </w:pPr>
      <w:r>
        <w:rPr>
          <w:rFonts w:hint="default" w:ascii="Times New Roman"/>
          <w:kern w:val="0"/>
          <w:szCs w:val="32"/>
        </w:rPr>
        <w:t>（三）</w:t>
      </w:r>
      <w:r>
        <w:rPr>
          <w:rFonts w:hint="default" w:ascii="Times New Roman"/>
          <w:color w:val="000000"/>
          <w:spacing w:val="0"/>
          <w:szCs w:val="48"/>
        </w:rPr>
        <w:t>省人力资源社会保障厅组织专家对各地推荐申报的品牌特色专业群项目进行评审，确定</w:t>
      </w:r>
      <w:r>
        <w:rPr>
          <w:color w:val="000000"/>
          <w:spacing w:val="0"/>
          <w:szCs w:val="48"/>
        </w:rPr>
        <w:t>拟建项目并经公示无异议后，报省财政厅进行项目预算审核。</w:t>
      </w:r>
    </w:p>
    <w:p>
      <w:pPr>
        <w:widowControl w:val="0"/>
        <w:spacing w:line="550" w:lineRule="exact"/>
        <w:ind w:firstLine="640" w:firstLineChars="200"/>
        <w:rPr>
          <w:rFonts w:eastAsia="方正黑体_GBK"/>
          <w:kern w:val="0"/>
          <w:szCs w:val="32"/>
        </w:rPr>
      </w:pPr>
      <w:r>
        <w:rPr>
          <w:rFonts w:eastAsia="方正黑体_GBK"/>
          <w:kern w:val="0"/>
          <w:szCs w:val="32"/>
        </w:rPr>
        <w:t>五、项目经费</w:t>
      </w:r>
    </w:p>
    <w:p>
      <w:pPr>
        <w:widowControl w:val="0"/>
        <w:spacing w:line="550" w:lineRule="exact"/>
        <w:ind w:firstLine="640" w:firstLineChars="200"/>
        <w:rPr>
          <w:spacing w:val="0"/>
          <w:szCs w:val="48"/>
        </w:rPr>
      </w:pPr>
      <w:r>
        <w:rPr>
          <w:spacing w:val="0"/>
          <w:szCs w:val="48"/>
        </w:rPr>
        <w:t>技工院校品牌特色专业群项目建设周期一般为2年，项目所在学校要多渠道筹措培养经费，积极争取行业、企业和社会各方投入，省财政对立项建设的专业群给予</w:t>
      </w:r>
      <w:r>
        <w:rPr>
          <w:rFonts w:hint="default"/>
          <w:spacing w:val="0"/>
          <w:szCs w:val="48"/>
        </w:rPr>
        <w:t>一定</w:t>
      </w:r>
      <w:r>
        <w:rPr>
          <w:spacing w:val="0"/>
          <w:szCs w:val="48"/>
        </w:rPr>
        <w:t>的经费支持，各设区市应加大项目扶持力度，相应配套资金，共同推动项目建设。</w:t>
      </w:r>
    </w:p>
    <w:p>
      <w:pPr>
        <w:widowControl w:val="0"/>
        <w:spacing w:line="550" w:lineRule="exact"/>
        <w:ind w:firstLine="640" w:firstLineChars="200"/>
        <w:rPr>
          <w:rFonts w:eastAsia="方正黑体_GBK"/>
          <w:kern w:val="0"/>
          <w:szCs w:val="32"/>
        </w:rPr>
      </w:pPr>
      <w:r>
        <w:rPr>
          <w:rFonts w:eastAsia="方正黑体_GBK"/>
          <w:kern w:val="0"/>
          <w:szCs w:val="32"/>
        </w:rPr>
        <w:t>六、项目保障</w:t>
      </w:r>
    </w:p>
    <w:p>
      <w:pPr>
        <w:widowControl w:val="0"/>
        <w:spacing w:line="550" w:lineRule="exact"/>
        <w:ind w:firstLine="640" w:firstLineChars="200"/>
        <w:rPr>
          <w:rFonts w:hint="default" w:eastAsia="仿宋_GB2312"/>
          <w:b/>
          <w:szCs w:val="32"/>
        </w:rPr>
      </w:pPr>
      <w:r>
        <w:rPr>
          <w:rFonts w:eastAsia="方正楷体_GBK"/>
          <w:kern w:val="0"/>
          <w:szCs w:val="32"/>
        </w:rPr>
        <w:t>（一）加强组织领导。</w:t>
      </w:r>
      <w:r>
        <w:rPr>
          <w:color w:val="000000"/>
          <w:spacing w:val="0"/>
          <w:szCs w:val="48"/>
        </w:rPr>
        <w:t>相关技工院校应建立由院（校）长牵头，分管院（校）长具体负责的项目实施领导小组，加强对专业群建设工作的组织领导。要完善项目建设管理制度，健全项目建设推进协调机制，扎实推进专业群建设工作，确保项目建设成效。</w:t>
      </w:r>
    </w:p>
    <w:p>
      <w:pPr>
        <w:widowControl w:val="0"/>
        <w:spacing w:line="550" w:lineRule="exact"/>
        <w:ind w:firstLine="640" w:firstLineChars="200"/>
        <w:rPr>
          <w:rFonts w:hint="default" w:eastAsia="仿宋_GB2312"/>
          <w:b/>
          <w:szCs w:val="32"/>
        </w:rPr>
      </w:pPr>
      <w:r>
        <w:rPr>
          <w:rFonts w:eastAsia="方正楷体_GBK"/>
          <w:kern w:val="0"/>
          <w:szCs w:val="32"/>
        </w:rPr>
        <w:t>（二）实施过程管理。</w:t>
      </w:r>
      <w:r>
        <w:rPr>
          <w:spacing w:val="0"/>
          <w:szCs w:val="48"/>
        </w:rPr>
        <w:t>加强对项目建设过程的管理，各项目及时搜集专业群建设过程信息，分析、评估专业群建设、教学运行状况，提高项目实施的科学性、导向性和实效性。</w:t>
      </w:r>
    </w:p>
    <w:p>
      <w:pPr>
        <w:widowControl w:val="0"/>
        <w:spacing w:line="550" w:lineRule="exact"/>
        <w:ind w:firstLine="640" w:firstLineChars="200"/>
        <w:rPr>
          <w:rFonts w:eastAsia="仿宋_GB2312"/>
          <w:b/>
          <w:szCs w:val="32"/>
        </w:rPr>
      </w:pPr>
      <w:r>
        <w:rPr>
          <w:rFonts w:eastAsia="方正楷体_GBK"/>
          <w:kern w:val="0"/>
          <w:szCs w:val="32"/>
        </w:rPr>
        <w:t>（三）强化绩效考核。</w:t>
      </w:r>
      <w:r>
        <w:rPr>
          <w:color w:val="000000"/>
          <w:spacing w:val="0"/>
          <w:szCs w:val="48"/>
        </w:rPr>
        <w:t>由省人力资源社会保障厅、省财政厅联合对项目进行验收。对建设成效显著、运行机制完善、绩效特别突出的院校，给予适当奖励。对建设措施不力、绩效不合格的院校，由省人力资源社会保障厅、省财政厅责令整改，整改仍不合格的，则相应扣回已拨的专项资金。</w:t>
      </w:r>
    </w:p>
    <w:p>
      <w:pPr>
        <w:widowControl/>
        <w:jc w:val="center"/>
        <w:textAlignment w:val="baseline"/>
        <w:rPr>
          <w:rFonts w:eastAsia="方正小标宋_GBK"/>
          <w:sz w:val="44"/>
          <w:szCs w:val="44"/>
        </w:rPr>
      </w:pPr>
    </w:p>
    <w:p>
      <w:pPr>
        <w:widowControl/>
        <w:jc w:val="center"/>
        <w:textAlignment w:val="baseline"/>
        <w:rPr>
          <w:rFonts w:hint="default" w:eastAsia="方正小标宋_GBK"/>
          <w:sz w:val="44"/>
          <w:szCs w:val="44"/>
        </w:rPr>
      </w:pPr>
    </w:p>
    <w:p>
      <w:pPr>
        <w:widowControl/>
        <w:jc w:val="center"/>
        <w:textAlignment w:val="baseline"/>
        <w:rPr>
          <w:rFonts w:hint="default" w:eastAsia="方正小标宋_GBK"/>
          <w:sz w:val="44"/>
          <w:szCs w:val="44"/>
        </w:rPr>
      </w:pPr>
    </w:p>
    <w:p>
      <w:pPr>
        <w:widowControl/>
        <w:jc w:val="center"/>
        <w:textAlignment w:val="baseline"/>
        <w:rPr>
          <w:rFonts w:hint="default" w:eastAsia="方正小标宋_GBK"/>
          <w:sz w:val="44"/>
          <w:szCs w:val="44"/>
        </w:rPr>
      </w:pPr>
    </w:p>
    <w:p>
      <w:pPr>
        <w:widowControl/>
        <w:jc w:val="center"/>
        <w:textAlignment w:val="baseline"/>
        <w:rPr>
          <w:rFonts w:hint="default" w:eastAsia="方正小标宋_GBK"/>
          <w:sz w:val="44"/>
          <w:szCs w:val="44"/>
        </w:rPr>
      </w:pPr>
    </w:p>
    <w:p>
      <w:pPr>
        <w:widowControl/>
        <w:jc w:val="center"/>
        <w:textAlignment w:val="baseline"/>
        <w:rPr>
          <w:rFonts w:hint="default" w:eastAsia="方正小标宋_GBK"/>
          <w:sz w:val="54"/>
          <w:szCs w:val="54"/>
        </w:rPr>
      </w:pPr>
    </w:p>
    <w:p>
      <w:pPr>
        <w:widowControl/>
        <w:jc w:val="center"/>
        <w:textAlignment w:val="baseline"/>
        <w:rPr>
          <w:rFonts w:hint="default" w:eastAsia="方正小标宋_GBK"/>
          <w:sz w:val="54"/>
          <w:szCs w:val="54"/>
        </w:rPr>
      </w:pPr>
    </w:p>
    <w:p>
      <w:pPr>
        <w:widowControl/>
        <w:jc w:val="center"/>
        <w:textAlignment w:val="baseline"/>
        <w:rPr>
          <w:rFonts w:hint="default" w:eastAsia="方正小标宋_GBK"/>
          <w:sz w:val="54"/>
          <w:szCs w:val="54"/>
        </w:rPr>
      </w:pPr>
    </w:p>
    <w:p>
      <w:pPr>
        <w:widowControl/>
        <w:jc w:val="center"/>
        <w:textAlignment w:val="baseline"/>
        <w:rPr>
          <w:rFonts w:ascii="Times New Roman" w:eastAsia="方正小标宋_GBK"/>
          <w:sz w:val="54"/>
          <w:szCs w:val="54"/>
        </w:rPr>
      </w:pPr>
      <w:r>
        <w:rPr>
          <w:rFonts w:hint="default" w:ascii="Times New Roman" w:eastAsia="方正小标宋_GBK"/>
          <w:sz w:val="54"/>
          <w:szCs w:val="54"/>
        </w:rPr>
        <w:t>江苏省技工院校品牌特色专业群</w:t>
      </w:r>
    </w:p>
    <w:p>
      <w:pPr>
        <w:widowControl/>
        <w:jc w:val="center"/>
        <w:textAlignment w:val="baseline"/>
        <w:rPr>
          <w:rFonts w:ascii="Times New Roman" w:hAnsi="Times New Roman" w:eastAsia="方正小标宋_GBK"/>
          <w:sz w:val="50"/>
          <w:szCs w:val="50"/>
        </w:rPr>
      </w:pPr>
      <w:r>
        <w:rPr>
          <w:rFonts w:hint="default" w:ascii="Times New Roman" w:hAnsi="Times New Roman" w:eastAsia="方正小标宋_GBK"/>
          <w:sz w:val="50"/>
          <w:szCs w:val="50"/>
        </w:rPr>
        <w:t>申  报  书</w:t>
      </w:r>
    </w:p>
    <w:p>
      <w:pPr>
        <w:widowControl/>
        <w:textAlignment w:val="baseline"/>
      </w:pPr>
    </w:p>
    <w:p>
      <w:pPr>
        <w:widowControl/>
        <w:textAlignment w:val="baseline"/>
        <w:rPr>
          <w:rFonts w:hint="default"/>
        </w:rPr>
      </w:pPr>
    </w:p>
    <w:tbl>
      <w:tblPr>
        <w:tblStyle w:val="6"/>
        <w:tblW w:w="6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院校名称</w:t>
            </w:r>
          </w:p>
        </w:tc>
        <w:tc>
          <w:tcPr>
            <w:tcW w:w="4530" w:type="dxa"/>
            <w:tcBorders>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专业群名称</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所属市别</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主管部门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法人代表</w:t>
            </w:r>
          </w:p>
        </w:tc>
        <w:tc>
          <w:tcPr>
            <w:tcW w:w="4530" w:type="dxa"/>
            <w:tcBorders>
              <w:top w:val="single" w:color="auto" w:sz="8" w:space="0"/>
              <w:bottom w:val="single" w:color="auto" w:sz="8" w:space="0"/>
            </w:tcBorders>
            <w:vAlign w:val="top"/>
          </w:tcPr>
          <w:p>
            <w:pPr>
              <w:widowControl/>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pPr>
            <w:r>
              <w:rPr>
                <w:rFonts w:eastAsia="方正黑体_GBK"/>
                <w:szCs w:val="32"/>
              </w:rPr>
              <w:t>联系方式</w:t>
            </w:r>
          </w:p>
        </w:tc>
        <w:tc>
          <w:tcPr>
            <w:tcW w:w="4530" w:type="dxa"/>
            <w:tcBorders>
              <w:top w:val="single" w:color="auto" w:sz="8" w:space="0"/>
              <w:bottom w:val="single" w:color="auto" w:sz="8" w:space="0"/>
            </w:tcBorders>
            <w:vAlign w:val="bottom"/>
          </w:tcPr>
          <w:p>
            <w:pPr>
              <w:widowControl/>
              <w:textAlignment w:val="baseline"/>
              <w:rPr>
                <w:rFonts w:hint="default"/>
              </w:rPr>
            </w:pPr>
            <w:r>
              <w:rPr>
                <w:rFonts w:eastAsia="方正楷体_GBK"/>
                <w:sz w:val="30"/>
                <w:szCs w:val="30"/>
              </w:rPr>
              <w:t>办公电话</w:t>
            </w:r>
            <w:r>
              <w:rPr>
                <w:rFonts w:hint="default" w:eastAsia="方正楷体_GBK"/>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rPr>
                <w:rFonts w:hint="default"/>
              </w:rPr>
            </w:pPr>
            <w:r>
              <w:rPr>
                <w:rFonts w:eastAsia="方正楷体_GBK"/>
                <w:sz w:val="30"/>
                <w:szCs w:val="30"/>
              </w:rPr>
              <w:t>手机号码</w:t>
            </w:r>
            <w:r>
              <w:rPr>
                <w:rFonts w:hint="default" w:eastAsia="方正楷体_GBK"/>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top"/>
          </w:tcPr>
          <w:p>
            <w:pPr>
              <w:widowControl/>
              <w:textAlignment w:val="baseline"/>
            </w:pPr>
          </w:p>
        </w:tc>
        <w:tc>
          <w:tcPr>
            <w:tcW w:w="4530" w:type="dxa"/>
            <w:tcBorders>
              <w:top w:val="single" w:color="auto" w:sz="8" w:space="0"/>
              <w:bottom w:val="single" w:color="auto" w:sz="8" w:space="0"/>
            </w:tcBorders>
            <w:vAlign w:val="bottom"/>
          </w:tcPr>
          <w:p>
            <w:pPr>
              <w:widowControl/>
              <w:textAlignment w:val="baseline"/>
              <w:rPr>
                <w:rFonts w:hint="default"/>
              </w:rPr>
            </w:pPr>
            <w:r>
              <w:rPr>
                <w:rFonts w:eastAsia="方正楷体_GBK"/>
                <w:sz w:val="30"/>
                <w:szCs w:val="30"/>
              </w:rPr>
              <w:t>电子邮箱</w:t>
            </w:r>
            <w:r>
              <w:rPr>
                <w:rFonts w:hint="default" w:eastAsia="方正楷体_GBK"/>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870" w:type="dxa"/>
            <w:vAlign w:val="bottom"/>
          </w:tcPr>
          <w:p>
            <w:pPr>
              <w:widowControl/>
              <w:jc w:val="distribute"/>
              <w:textAlignment w:val="baseline"/>
              <w:rPr>
                <w:rFonts w:hint="eastAsia" w:ascii="方正黑体_GBK" w:eastAsia="方正黑体_GBK"/>
              </w:rPr>
            </w:pPr>
            <w:r>
              <w:rPr>
                <w:rFonts w:hint="eastAsia" w:ascii="方正黑体_GBK" w:eastAsia="方正黑体_GBK"/>
              </w:rPr>
              <w:t>填表时间</w:t>
            </w:r>
          </w:p>
        </w:tc>
        <w:tc>
          <w:tcPr>
            <w:tcW w:w="4530" w:type="dxa"/>
            <w:tcBorders>
              <w:top w:val="single" w:color="auto" w:sz="8" w:space="0"/>
              <w:bottom w:val="single" w:color="auto" w:sz="8" w:space="0"/>
            </w:tcBorders>
            <w:vAlign w:val="bottom"/>
          </w:tcPr>
          <w:p>
            <w:pPr>
              <w:widowControl/>
              <w:textAlignment w:val="baseline"/>
              <w:rPr>
                <w:rFonts w:eastAsia="方正楷体_GBK"/>
                <w:sz w:val="30"/>
                <w:szCs w:val="30"/>
              </w:rPr>
            </w:pPr>
          </w:p>
        </w:tc>
      </w:tr>
    </w:tbl>
    <w:p>
      <w:pPr>
        <w:widowControl/>
        <w:textAlignment w:val="baseline"/>
      </w:pPr>
    </w:p>
    <w:p>
      <w:pPr>
        <w:widowControl/>
        <w:spacing w:line="360" w:lineRule="auto"/>
        <w:jc w:val="center"/>
        <w:textAlignment w:val="baseline"/>
        <w:rPr>
          <w:rFonts w:ascii="Times New Roman" w:eastAsia="仿宋_GB2312"/>
          <w:sz w:val="30"/>
          <w:szCs w:val="30"/>
        </w:rPr>
      </w:pPr>
    </w:p>
    <w:p>
      <w:pPr>
        <w:widowControl/>
        <w:jc w:val="center"/>
        <w:textAlignment w:val="baseline"/>
        <w:rPr>
          <w:rFonts w:hint="default" w:ascii="Times New Roman" w:eastAsia="方正楷体_GBK"/>
          <w:sz w:val="36"/>
          <w:szCs w:val="36"/>
        </w:rPr>
      </w:pPr>
      <w:r>
        <w:rPr>
          <w:rFonts w:hint="default" w:ascii="Times New Roman" w:eastAsia="方正楷体_GBK"/>
          <w:sz w:val="36"/>
          <w:szCs w:val="36"/>
        </w:rPr>
        <w:t>江苏省人力资源</w:t>
      </w:r>
      <w:r>
        <w:rPr>
          <w:rFonts w:hint="eastAsia" w:eastAsia="方正楷体_GBK"/>
          <w:sz w:val="36"/>
          <w:szCs w:val="36"/>
        </w:rPr>
        <w:t>和</w:t>
      </w:r>
      <w:r>
        <w:rPr>
          <w:rFonts w:hint="default" w:ascii="Times New Roman" w:eastAsia="方正楷体_GBK"/>
          <w:sz w:val="36"/>
          <w:szCs w:val="36"/>
        </w:rPr>
        <w:t>社会保障厅 制</w:t>
      </w:r>
    </w:p>
    <w:p>
      <w:pPr>
        <w:widowControl/>
        <w:jc w:val="center"/>
        <w:textAlignment w:val="baseline"/>
        <w:rPr>
          <w:rFonts w:ascii="Times New Roman" w:eastAsia="方正楷体_GBK"/>
          <w:sz w:val="36"/>
          <w:szCs w:val="36"/>
        </w:rPr>
      </w:pPr>
      <w:r>
        <w:rPr>
          <w:rFonts w:ascii="Times New Roman" w:eastAsia="方正楷体_GBK"/>
          <w:sz w:val="36"/>
          <w:szCs w:val="36"/>
        </w:rPr>
        <w:t>2021年</w:t>
      </w:r>
    </w:p>
    <w:p>
      <w:pPr>
        <w:widowControl/>
        <w:spacing w:line="590" w:lineRule="exact"/>
        <w:jc w:val="center"/>
        <w:textAlignment w:val="baseline"/>
        <w:outlineLvl w:val="0"/>
        <w:rPr>
          <w:rFonts w:hint="default" w:ascii="Times New Roman" w:hAnsi="Times New Roman" w:eastAsia="方正黑体_GBK" w:cs="Times New Roman"/>
          <w:szCs w:val="32"/>
        </w:rPr>
      </w:pPr>
    </w:p>
    <w:p>
      <w:pPr>
        <w:widowControl/>
        <w:spacing w:line="590" w:lineRule="exact"/>
        <w:jc w:val="center"/>
        <w:textAlignment w:val="baseline"/>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填报说明</w:t>
      </w:r>
    </w:p>
    <w:p>
      <w:pPr>
        <w:widowControl/>
        <w:spacing w:line="590" w:lineRule="exact"/>
        <w:textAlignment w:val="baseline"/>
        <w:rPr>
          <w:bCs/>
          <w:sz w:val="28"/>
          <w:szCs w:val="28"/>
        </w:rPr>
      </w:pPr>
    </w:p>
    <w:p>
      <w:pPr>
        <w:widowControl/>
        <w:spacing w:line="550" w:lineRule="exact"/>
        <w:ind w:firstLine="640" w:firstLineChars="200"/>
        <w:textAlignment w:val="baseline"/>
        <w:rPr>
          <w:bCs/>
          <w:sz w:val="32"/>
          <w:szCs w:val="32"/>
        </w:rPr>
      </w:pPr>
      <w:r>
        <w:rPr>
          <w:bCs/>
          <w:sz w:val="32"/>
          <w:szCs w:val="32"/>
        </w:rPr>
        <w:t>1．专业代码：在《全国技工院校专业目录（2018年修订）》中查找；</w:t>
      </w:r>
    </w:p>
    <w:p>
      <w:pPr>
        <w:widowControl/>
        <w:spacing w:line="550" w:lineRule="exact"/>
        <w:ind w:firstLine="640" w:firstLineChars="200"/>
        <w:textAlignment w:val="baseline"/>
        <w:rPr>
          <w:bCs/>
          <w:sz w:val="32"/>
          <w:szCs w:val="32"/>
        </w:rPr>
      </w:pPr>
      <w:r>
        <w:rPr>
          <w:bCs/>
          <w:sz w:val="32"/>
          <w:szCs w:val="32"/>
        </w:rPr>
        <w:t>2．自筹经费：包括专项经费、社会培训、技术服务等收入费用；</w:t>
      </w:r>
    </w:p>
    <w:p>
      <w:pPr>
        <w:widowControl/>
        <w:spacing w:line="550" w:lineRule="exact"/>
        <w:ind w:firstLine="640" w:firstLineChars="200"/>
        <w:textAlignment w:val="baseline"/>
        <w:rPr>
          <w:bCs/>
          <w:sz w:val="32"/>
          <w:szCs w:val="32"/>
        </w:rPr>
      </w:pPr>
      <w:r>
        <w:rPr>
          <w:bCs/>
          <w:sz w:val="32"/>
          <w:szCs w:val="32"/>
        </w:rPr>
        <w:t>3．兼职教师：指正式聘任来校授课的行业、企业及社会中的专业技术人员和能工巧匠，按承担教学任务160学时折算为1人标准计算；</w:t>
      </w:r>
    </w:p>
    <w:p>
      <w:pPr>
        <w:widowControl/>
        <w:spacing w:line="550" w:lineRule="exact"/>
        <w:ind w:firstLine="640" w:firstLineChars="200"/>
        <w:textAlignment w:val="baseline"/>
        <w:rPr>
          <w:bCs/>
          <w:sz w:val="32"/>
          <w:szCs w:val="32"/>
        </w:rPr>
      </w:pPr>
      <w:r>
        <w:rPr>
          <w:bCs/>
          <w:sz w:val="32"/>
          <w:szCs w:val="32"/>
        </w:rPr>
        <w:t xml:space="preserve">4．教学设施设备：单价在1000元以上的用于教学的设施设备； </w:t>
      </w:r>
    </w:p>
    <w:p>
      <w:pPr>
        <w:widowControl/>
        <w:spacing w:line="550" w:lineRule="exact"/>
        <w:ind w:firstLine="640" w:firstLineChars="200"/>
        <w:textAlignment w:val="baseline"/>
        <w:rPr>
          <w:bCs/>
          <w:sz w:val="32"/>
          <w:szCs w:val="32"/>
        </w:rPr>
      </w:pPr>
      <w:r>
        <w:rPr>
          <w:bCs/>
          <w:sz w:val="32"/>
          <w:szCs w:val="32"/>
        </w:rPr>
        <w:t xml:space="preserve">5．大型教学仪器设备：单价高于5万元的用于教学的仪器设备； </w:t>
      </w:r>
    </w:p>
    <w:p>
      <w:pPr>
        <w:widowControl/>
        <w:spacing w:line="550" w:lineRule="exact"/>
        <w:ind w:firstLine="640" w:firstLineChars="200"/>
        <w:textAlignment w:val="baseline"/>
        <w:rPr>
          <w:bCs/>
          <w:sz w:val="32"/>
          <w:szCs w:val="32"/>
        </w:rPr>
      </w:pPr>
      <w:r>
        <w:rPr>
          <w:bCs/>
          <w:sz w:val="32"/>
          <w:szCs w:val="32"/>
        </w:rPr>
        <w:t>6. 行业企业经历教师：指专任教师中具有与本专业相关的行业、企业两年以上工作经历的教师。</w:t>
      </w:r>
    </w:p>
    <w:p>
      <w:pPr>
        <w:widowControl/>
        <w:spacing w:line="550" w:lineRule="exact"/>
        <w:ind w:firstLine="640" w:firstLineChars="200"/>
        <w:textAlignment w:val="baseline"/>
        <w:rPr>
          <w:bCs/>
          <w:sz w:val="32"/>
          <w:szCs w:val="32"/>
        </w:rPr>
      </w:pPr>
      <w:r>
        <w:rPr>
          <w:rFonts w:eastAsia="方正黑体_GBK"/>
          <w:bCs/>
          <w:sz w:val="32"/>
          <w:szCs w:val="32"/>
        </w:rPr>
        <w:t>注：</w:t>
      </w:r>
      <w:r>
        <w:rPr>
          <w:bCs/>
          <w:sz w:val="32"/>
          <w:szCs w:val="32"/>
        </w:rPr>
        <w:t>申报学校应如实填写本表各项数据，如有弄虚作假将取消评审资格。</w:t>
      </w:r>
    </w:p>
    <w:p>
      <w:pPr>
        <w:widowControl/>
        <w:spacing w:line="550" w:lineRule="exact"/>
        <w:ind w:firstLine="640" w:firstLineChars="200"/>
        <w:textAlignment w:val="baseline"/>
        <w:rPr>
          <w:rFonts w:eastAsia="方正仿宋_GBK"/>
          <w:szCs w:val="32"/>
        </w:rPr>
      </w:pPr>
    </w:p>
    <w:p>
      <w:pPr>
        <w:widowControl/>
        <w:spacing w:line="550" w:lineRule="exact"/>
        <w:textAlignment w:val="baseline"/>
        <w:rPr>
          <w:rFonts w:eastAsia="方正仿宋_GBK"/>
          <w:szCs w:val="32"/>
        </w:rPr>
      </w:pPr>
    </w:p>
    <w:p>
      <w:pPr>
        <w:widowControl/>
        <w:textAlignment w:val="baseline"/>
        <w:rPr>
          <w:rFonts w:hint="default" w:eastAsia="仿宋"/>
          <w:szCs w:val="32"/>
        </w:rPr>
      </w:pPr>
    </w:p>
    <w:p>
      <w:pPr>
        <w:widowControl/>
        <w:textAlignment w:val="baseline"/>
        <w:rPr>
          <w:rFonts w:hint="default" w:eastAsia="仿宋"/>
          <w:szCs w:val="32"/>
        </w:rPr>
      </w:pPr>
    </w:p>
    <w:p>
      <w:pPr>
        <w:widowControl/>
        <w:textAlignment w:val="baseline"/>
        <w:rPr>
          <w:rFonts w:hint="default" w:eastAsia="仿宋"/>
          <w:szCs w:val="32"/>
        </w:rPr>
      </w:pPr>
    </w:p>
    <w:p>
      <w:pPr>
        <w:widowControl/>
        <w:textAlignment w:val="baseline"/>
        <w:rPr>
          <w:rFonts w:hint="default" w:eastAsia="仿宋"/>
          <w:szCs w:val="32"/>
        </w:rPr>
      </w:pPr>
    </w:p>
    <w:p>
      <w:pPr>
        <w:widowControl/>
        <w:jc w:val="left"/>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一、申报专业群基本情况</w:t>
      </w:r>
    </w:p>
    <w:tbl>
      <w:tblPr>
        <w:tblStyle w:val="6"/>
        <w:tblW w:w="9197" w:type="dxa"/>
        <w:jc w:val="center"/>
        <w:tblInd w:w="-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917"/>
        <w:gridCol w:w="1452"/>
        <w:gridCol w:w="1196"/>
        <w:gridCol w:w="1055"/>
        <w:gridCol w:w="2427"/>
        <w:gridCol w:w="7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269" w:type="dxa"/>
            <w:gridSpan w:val="2"/>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专业群名称</w:t>
            </w:r>
          </w:p>
        </w:tc>
        <w:tc>
          <w:tcPr>
            <w:tcW w:w="3703" w:type="dxa"/>
            <w:gridSpan w:val="3"/>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主要面向产业</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2269" w:type="dxa"/>
            <w:gridSpan w:val="2"/>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面向职业岗位（群）</w:t>
            </w:r>
          </w:p>
        </w:tc>
        <w:tc>
          <w:tcPr>
            <w:tcW w:w="6928" w:type="dxa"/>
            <w:gridSpan w:val="5"/>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Merge w:val="restart"/>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专业群包含专业</w:t>
            </w:r>
          </w:p>
        </w:tc>
        <w:tc>
          <w:tcPr>
            <w:tcW w:w="917"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1452"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专业代码</w:t>
            </w:r>
          </w:p>
        </w:tc>
        <w:tc>
          <w:tcPr>
            <w:tcW w:w="2251" w:type="dxa"/>
            <w:gridSpan w:val="2"/>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专业名称</w:t>
            </w:r>
          </w:p>
        </w:tc>
        <w:tc>
          <w:tcPr>
            <w:tcW w:w="2427"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所在院（系）</w:t>
            </w:r>
          </w:p>
        </w:tc>
        <w:tc>
          <w:tcPr>
            <w:tcW w:w="798"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所属专业大类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Merge w:val="continue"/>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91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4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251"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Merge w:val="continue"/>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91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251"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Merge w:val="continue"/>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91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4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251"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Merge w:val="continue"/>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91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251"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Merge w:val="continue"/>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91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4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251"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9197" w:type="dxa"/>
            <w:gridSpan w:val="7"/>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专业群负责人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2369"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055"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出生年月</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学历</w:t>
            </w:r>
          </w:p>
        </w:tc>
        <w:tc>
          <w:tcPr>
            <w:tcW w:w="2369"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学位</w:t>
            </w:r>
          </w:p>
        </w:tc>
        <w:tc>
          <w:tcPr>
            <w:tcW w:w="1055"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专业技术职务</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行政职务</w:t>
            </w:r>
          </w:p>
        </w:tc>
        <w:tc>
          <w:tcPr>
            <w:tcW w:w="2369"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手机</w:t>
            </w:r>
          </w:p>
        </w:tc>
        <w:tc>
          <w:tcPr>
            <w:tcW w:w="1055"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职业技能及等级</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35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2369"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电子邮箱</w:t>
            </w:r>
          </w:p>
        </w:tc>
        <w:tc>
          <w:tcPr>
            <w:tcW w:w="1055"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2427"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eastAsia="宋体"/>
                <w:sz w:val="21"/>
                <w:szCs w:val="21"/>
              </w:rPr>
              <w:t>QQ</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021" w:hRule="atLeast"/>
          <w:jc w:val="center"/>
        </w:trPr>
        <w:tc>
          <w:tcPr>
            <w:tcW w:w="1352" w:type="dxa"/>
            <w:tcMar>
              <w:left w:w="28" w:type="dxa"/>
              <w:right w:w="28" w:type="dxa"/>
            </w:tcMar>
            <w:vAlign w:val="center"/>
          </w:tcPr>
          <w:p>
            <w:pPr>
              <w:widowControl w:val="0"/>
              <w:spacing w:line="240" w:lineRule="exact"/>
              <w:jc w:val="center"/>
              <w:textAlignment w:val="baseline"/>
              <w:rPr>
                <w:rFonts w:hint="default" w:ascii="Times New Roman" w:hAnsi="Times New Roman" w:eastAsia="宋体" w:cs="Times New Roman"/>
                <w:spacing w:val="-14"/>
                <w:sz w:val="21"/>
                <w:szCs w:val="21"/>
              </w:rPr>
            </w:pPr>
            <w:r>
              <w:rPr>
                <w:rFonts w:hint="default" w:ascii="Times New Roman" w:hAnsi="Times New Roman" w:eastAsia="宋体" w:cs="Times New Roman"/>
                <w:sz w:val="21"/>
                <w:szCs w:val="21"/>
              </w:rPr>
              <w:t>专</w:t>
            </w:r>
            <w:r>
              <w:rPr>
                <w:rFonts w:hint="default" w:ascii="Times New Roman" w:hAnsi="Times New Roman" w:eastAsia="宋体" w:cs="Times New Roman"/>
                <w:spacing w:val="-14"/>
                <w:sz w:val="21"/>
                <w:szCs w:val="21"/>
              </w:rPr>
              <w:t>业群负责人</w:t>
            </w:r>
          </w:p>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主要业绩</w:t>
            </w:r>
          </w:p>
          <w:p>
            <w:pPr>
              <w:widowControl w:val="0"/>
              <w:spacing w:line="240" w:lineRule="exact"/>
              <w:jc w:val="center"/>
              <w:textAlignment w:val="baseline"/>
              <w:rPr>
                <w:rFonts w:hint="default" w:ascii="Times New Roman" w:hAnsi="Times New Roman" w:eastAsia="宋体"/>
                <w:sz w:val="21"/>
                <w:szCs w:val="21"/>
              </w:rPr>
            </w:pPr>
          </w:p>
          <w:p>
            <w:pPr>
              <w:widowControl w:val="0"/>
              <w:spacing w:line="240" w:lineRule="exact"/>
              <w:jc w:val="center"/>
              <w:textAlignment w:val="baseline"/>
              <w:rPr>
                <w:rFonts w:hint="default" w:ascii="Times New Roman" w:hAnsi="Times New Roman" w:eastAsia="宋体" w:cs="Times New Roman"/>
                <w:sz w:val="21"/>
                <w:szCs w:val="21"/>
              </w:rPr>
            </w:pPr>
            <w:r>
              <w:rPr>
                <w:rFonts w:ascii="Times New Roman" w:hAnsi="Times New Roman" w:eastAsia="宋体"/>
                <w:spacing w:val="-8"/>
                <w:sz w:val="21"/>
                <w:szCs w:val="21"/>
              </w:rPr>
              <w:t>（200字以内）</w:t>
            </w:r>
          </w:p>
        </w:tc>
        <w:tc>
          <w:tcPr>
            <w:tcW w:w="7845" w:type="dxa"/>
            <w:gridSpan w:val="6"/>
            <w:vAlign w:val="top"/>
          </w:tcPr>
          <w:p>
            <w:pPr>
              <w:widowControl w:val="0"/>
              <w:spacing w:line="240" w:lineRule="exact"/>
              <w:jc w:val="both"/>
              <w:textAlignment w:val="baseline"/>
              <w:rPr>
                <w:rFonts w:hint="default" w:ascii="Times New Roman" w:hAnsi="Times New Roman" w:eastAsia="宋体"/>
                <w:sz w:val="21"/>
                <w:szCs w:val="21"/>
              </w:rPr>
            </w:pPr>
          </w:p>
          <w:p/>
          <w:p/>
          <w:p/>
          <w:p/>
          <w:p/>
          <w:p/>
          <w:p/>
          <w:p/>
          <w:p/>
          <w:p/>
          <w:p/>
          <w:p/>
          <w:p/>
          <w:p/>
          <w:p>
            <w:pPr>
              <w:widowControl w:val="0"/>
              <w:spacing w:line="240" w:lineRule="exact"/>
              <w:textAlignment w:val="baseline"/>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9197" w:type="dxa"/>
            <w:gridSpan w:val="7"/>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专业群建设已有公共资源（关联资源）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群各专业合作企业总数（个）</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公共合作企业数（个）</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群各专业专业课程总数（门）</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公共专业课程数（门）</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群各专业校内实训基地总数（个）</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公共校内实训基地数（个）</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群各专业专任专业教师总数（人）</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公共专任专业教师数（人）</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9197" w:type="dxa"/>
            <w:gridSpan w:val="7"/>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rPr>
              <w:t>专业群建设现有基础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专任专业教师总数</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w:t>
            </w:r>
            <w:r>
              <w:rPr>
                <w:rFonts w:hint="default" w:ascii="Times New Roman" w:hAnsi="Times New Roman" w:eastAsia="宋体" w:cs="Times New Roman"/>
                <w:spacing w:val="-8"/>
                <w:sz w:val="21"/>
                <w:szCs w:val="21"/>
              </w:rPr>
              <w:t>任专业教师具有教师资格证比例</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专任“一体化”教师比例</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具有行业企业经历教师总数</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学制生学制与总数</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应届毕业生就业率</w:t>
            </w:r>
          </w:p>
        </w:tc>
        <w:tc>
          <w:tcPr>
            <w:tcW w:w="798"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实验实训场所占地面积</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eastAsia="宋体"/>
                <w:sz w:val="21"/>
                <w:szCs w:val="21"/>
              </w:rPr>
              <w:t>m</w:t>
            </w:r>
            <w:r>
              <w:rPr>
                <w:rFonts w:eastAsia="宋体"/>
                <w:sz w:val="21"/>
                <w:szCs w:val="21"/>
                <w:vertAlign w:val="superscript"/>
              </w:rPr>
              <w:t>2</w:t>
            </w:r>
            <w:r>
              <w:rPr>
                <w:rFonts w:hint="default" w:ascii="Times New Roman" w:hAnsi="Times New Roman" w:eastAsia="宋体" w:cs="Times New Roman"/>
                <w:sz w:val="21"/>
                <w:szCs w:val="21"/>
              </w:rPr>
              <w:t>）</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实验实训场所建筑面积</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eastAsia="宋体"/>
                <w:sz w:val="21"/>
                <w:szCs w:val="21"/>
              </w:rPr>
              <w:t>m</w:t>
            </w:r>
            <w:r>
              <w:rPr>
                <w:rFonts w:eastAsia="宋体"/>
                <w:sz w:val="21"/>
                <w:szCs w:val="21"/>
                <w:vertAlign w:val="superscript"/>
              </w:rPr>
              <w:t>2</w:t>
            </w:r>
            <w:r>
              <w:rPr>
                <w:rFonts w:hint="default" w:ascii="Times New Roman" w:hAnsi="Times New Roman" w:eastAsia="宋体" w:cs="Times New Roman"/>
                <w:sz w:val="21"/>
                <w:szCs w:val="21"/>
              </w:rPr>
              <w:t>）</w:t>
            </w:r>
          </w:p>
        </w:tc>
        <w:tc>
          <w:tcPr>
            <w:tcW w:w="798" w:type="dxa"/>
            <w:vAlign w:val="center"/>
          </w:tcPr>
          <w:p>
            <w:pPr>
              <w:widowControl w:val="0"/>
              <w:spacing w:line="240" w:lineRule="exact"/>
              <w:jc w:val="center"/>
              <w:textAlignment w:val="baseline"/>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校内教学设施设备总值</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生均设备总值</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（元／生）</w:t>
            </w:r>
          </w:p>
        </w:tc>
        <w:tc>
          <w:tcPr>
            <w:tcW w:w="798" w:type="dxa"/>
            <w:vAlign w:val="center"/>
          </w:tcPr>
          <w:p>
            <w:pPr>
              <w:widowControl w:val="0"/>
              <w:spacing w:line="240" w:lineRule="exact"/>
              <w:jc w:val="center"/>
              <w:textAlignment w:val="baseline"/>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校内大型教学仪器设备数量</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（台／套）</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校内大型教学仪器设备总值</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798" w:type="dxa"/>
            <w:vAlign w:val="center"/>
          </w:tcPr>
          <w:p>
            <w:pPr>
              <w:widowControl w:val="0"/>
              <w:spacing w:line="240" w:lineRule="exact"/>
              <w:jc w:val="center"/>
              <w:textAlignment w:val="baseline"/>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eastAsia" w:eastAsia="宋体"/>
                <w:sz w:val="21"/>
                <w:szCs w:val="21"/>
              </w:rPr>
            </w:pPr>
            <w:r>
              <w:rPr>
                <w:rFonts w:hint="default" w:ascii="Times New Roman" w:hAnsi="Times New Roman" w:eastAsia="宋体" w:cs="Times New Roman"/>
                <w:sz w:val="21"/>
                <w:szCs w:val="21"/>
              </w:rPr>
              <w:t>本学年校内实训基地设备使用率</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eastAsia="宋体"/>
                <w:sz w:val="21"/>
                <w:szCs w:val="21"/>
              </w:rPr>
              <w:t>％</w:t>
            </w:r>
            <w:r>
              <w:rPr>
                <w:rFonts w:hint="default" w:ascii="Times New Roman" w:hAnsi="Times New Roman" w:eastAsia="宋体" w:cs="Times New Roman"/>
                <w:sz w:val="21"/>
                <w:szCs w:val="21"/>
              </w:rPr>
              <w:t>）</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本学年校内实训基地设备完好率（</w:t>
            </w:r>
            <w:r>
              <w:rPr>
                <w:rFonts w:eastAsia="宋体"/>
                <w:sz w:val="21"/>
                <w:szCs w:val="21"/>
              </w:rPr>
              <w:t>％</w:t>
            </w:r>
            <w:r>
              <w:rPr>
                <w:rFonts w:hint="default" w:ascii="Times New Roman" w:hAnsi="Times New Roman" w:eastAsia="宋体" w:cs="Times New Roman"/>
                <w:sz w:val="21"/>
                <w:szCs w:val="21"/>
              </w:rPr>
              <w:t>）</w:t>
            </w:r>
          </w:p>
        </w:tc>
        <w:tc>
          <w:tcPr>
            <w:tcW w:w="798" w:type="dxa"/>
            <w:vAlign w:val="center"/>
          </w:tcPr>
          <w:p>
            <w:pPr>
              <w:widowControl w:val="0"/>
              <w:spacing w:line="240" w:lineRule="exact"/>
              <w:jc w:val="center"/>
              <w:textAlignment w:val="baseline"/>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近三年群内专业投入经费总额</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近三年群内专业为企业</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培训员工总数（人次）</w:t>
            </w:r>
          </w:p>
        </w:tc>
        <w:tc>
          <w:tcPr>
            <w:tcW w:w="798" w:type="dxa"/>
            <w:vAlign w:val="center"/>
          </w:tcPr>
          <w:p>
            <w:pPr>
              <w:widowControl w:val="0"/>
              <w:spacing w:line="240" w:lineRule="exact"/>
              <w:jc w:val="center"/>
              <w:textAlignment w:val="baseline"/>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3721" w:type="dxa"/>
            <w:gridSpan w:val="3"/>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近三年群内教师获市以上</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竞赛奖总数（人次）</w:t>
            </w:r>
          </w:p>
        </w:tc>
        <w:tc>
          <w:tcPr>
            <w:tcW w:w="1196" w:type="dxa"/>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3482" w:type="dxa"/>
            <w:gridSpan w:val="2"/>
            <w:vAlign w:val="center"/>
          </w:tcPr>
          <w:p>
            <w:pPr>
              <w:widowControl w:val="0"/>
              <w:spacing w:line="240" w:lineRule="exact"/>
              <w:jc w:val="center"/>
              <w:textAlignment w:val="baseline"/>
              <w:rPr>
                <w:rFonts w:hint="default" w:ascii="Times New Roman" w:hAnsi="Times New Roman" w:eastAsia="宋体"/>
                <w:sz w:val="21"/>
                <w:szCs w:val="21"/>
              </w:rPr>
            </w:pPr>
            <w:r>
              <w:rPr>
                <w:rFonts w:hint="default" w:ascii="Times New Roman" w:hAnsi="Times New Roman" w:eastAsia="宋体" w:cs="Times New Roman"/>
                <w:sz w:val="21"/>
                <w:szCs w:val="21"/>
              </w:rPr>
              <w:t>近三年群内学生获市以上</w:t>
            </w:r>
          </w:p>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技能赛奖总数（人次）</w:t>
            </w:r>
          </w:p>
        </w:tc>
        <w:tc>
          <w:tcPr>
            <w:tcW w:w="798" w:type="dxa"/>
            <w:vAlign w:val="center"/>
          </w:tcPr>
          <w:p>
            <w:pPr>
              <w:widowControl w:val="0"/>
              <w:spacing w:line="240" w:lineRule="exact"/>
              <w:jc w:val="center"/>
              <w:textAlignment w:val="baseline"/>
              <w:rPr>
                <w:rFonts w:ascii="Times New Roman" w:hAnsi="Times New Roman" w:eastAsia="宋体"/>
                <w:sz w:val="21"/>
                <w:szCs w:val="21"/>
              </w:rPr>
            </w:pPr>
          </w:p>
        </w:tc>
      </w:tr>
    </w:tbl>
    <w:p>
      <w:pPr>
        <w:widowControl/>
        <w:spacing w:line="460" w:lineRule="exact"/>
        <w:textAlignment w:val="baseline"/>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二、专业群内各专业基本情况</w:t>
      </w:r>
    </w:p>
    <w:p>
      <w:pPr>
        <w:widowControl/>
        <w:spacing w:after="120" w:afterLines="50" w:line="460" w:lineRule="exact"/>
        <w:jc w:val="left"/>
        <w:textAlignment w:val="baseline"/>
        <w:outlineLvl w:val="2"/>
        <w:rPr>
          <w:rFonts w:hint="default" w:ascii="Times New Roman" w:hAnsi="Times New Roman" w:eastAsia="方正仿宋_GBK" w:cs="Times New Roman"/>
          <w:sz w:val="32"/>
          <w:szCs w:val="32"/>
        </w:rPr>
      </w:pPr>
      <w:r>
        <w:rPr>
          <w:rFonts w:eastAsia="方正仿宋_GBK"/>
          <w:bCs/>
          <w:sz w:val="32"/>
          <w:szCs w:val="32"/>
        </w:rPr>
        <w:t>2-1</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u w:val="single"/>
        </w:rPr>
        <w:t>XXX</w:t>
      </w:r>
      <w:r>
        <w:rPr>
          <w:rFonts w:hint="default" w:ascii="Times New Roman" w:hAnsi="Times New Roman" w:eastAsia="方正仿宋_GBK" w:cs="Times New Roman"/>
          <w:bCs/>
          <w:sz w:val="32"/>
          <w:szCs w:val="32"/>
        </w:rPr>
        <w:t>专业现有基础基本情况(每专业填写一张)</w:t>
      </w:r>
    </w:p>
    <w:tbl>
      <w:tblPr>
        <w:tblStyle w:val="6"/>
        <w:tblW w:w="918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2092"/>
        <w:gridCol w:w="680"/>
        <w:gridCol w:w="1694"/>
        <w:gridCol w:w="2310"/>
        <w:gridCol w:w="6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712"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专业代码</w:t>
            </w:r>
          </w:p>
        </w:tc>
        <w:tc>
          <w:tcPr>
            <w:tcW w:w="2772" w:type="dxa"/>
            <w:gridSpan w:val="2"/>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p>
        </w:tc>
        <w:tc>
          <w:tcPr>
            <w:tcW w:w="1694" w:type="dxa"/>
            <w:vAlign w:val="center"/>
          </w:tcPr>
          <w:p>
            <w:pPr>
              <w:widowControl w:val="0"/>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专业名称</w:t>
            </w:r>
          </w:p>
        </w:tc>
        <w:tc>
          <w:tcPr>
            <w:tcW w:w="3009" w:type="dxa"/>
            <w:gridSpan w:val="2"/>
            <w:vAlign w:val="center"/>
          </w:tcPr>
          <w:p>
            <w:pPr>
              <w:widowControl w:val="0"/>
              <w:spacing w:line="240" w:lineRule="exact"/>
              <w:textAlignment w:val="baseline"/>
              <w:rPr>
                <w:rFonts w:hint="default" w:ascii="Times New Roman" w:hAnsi="Times New Roman" w:eastAsia="宋体" w:cs="Times New Roman"/>
                <w:b w:val="0"/>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1712"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所在院（系）</w:t>
            </w:r>
          </w:p>
        </w:tc>
        <w:tc>
          <w:tcPr>
            <w:tcW w:w="2772" w:type="dxa"/>
            <w:gridSpan w:val="2"/>
            <w:vAlign w:val="center"/>
          </w:tcPr>
          <w:p>
            <w:pPr>
              <w:widowControl w:val="0"/>
              <w:spacing w:line="240" w:lineRule="exact"/>
              <w:jc w:val="center"/>
              <w:textAlignment w:val="baseline"/>
              <w:rPr>
                <w:rFonts w:hint="default" w:ascii="Times New Roman" w:hAnsi="Times New Roman" w:eastAsia="宋体" w:cs="Times New Roman"/>
                <w:sz w:val="21"/>
                <w:szCs w:val="21"/>
              </w:rPr>
            </w:pPr>
          </w:p>
        </w:tc>
        <w:tc>
          <w:tcPr>
            <w:tcW w:w="1694" w:type="dxa"/>
            <w:vAlign w:val="center"/>
          </w:tcPr>
          <w:p>
            <w:pPr>
              <w:widowControl w:val="0"/>
              <w:spacing w:line="24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所属专业大类</w:t>
            </w:r>
          </w:p>
        </w:tc>
        <w:tc>
          <w:tcPr>
            <w:tcW w:w="3009"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专任专业教师数（人）</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专任专业教师具有教师资格证比例</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专任“一体化”教师比例</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具有行业企业经历教师数（人）</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学制生学制与人数（人）</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应届毕业生就业率</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实验实训场所占地面积（</w:t>
            </w:r>
            <w:r>
              <w:rPr>
                <w:rFonts w:eastAsia="宋体"/>
                <w:sz w:val="21"/>
                <w:szCs w:val="21"/>
              </w:rPr>
              <w:t>m</w:t>
            </w:r>
            <w:r>
              <w:rPr>
                <w:rFonts w:eastAsia="宋体"/>
                <w:sz w:val="21"/>
                <w:szCs w:val="21"/>
                <w:vertAlign w:val="superscript"/>
              </w:rPr>
              <w:t>2</w:t>
            </w:r>
            <w:r>
              <w:rPr>
                <w:rFonts w:hint="default" w:ascii="Times New Roman" w:hAnsi="Times New Roman" w:eastAsia="宋体" w:cs="Times New Roman"/>
                <w:sz w:val="21"/>
                <w:szCs w:val="21"/>
              </w:rPr>
              <w:t>）</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实验实训场所建筑面积（</w:t>
            </w:r>
            <w:r>
              <w:rPr>
                <w:rFonts w:eastAsia="宋体"/>
                <w:sz w:val="21"/>
                <w:szCs w:val="21"/>
              </w:rPr>
              <w:t>m</w:t>
            </w:r>
            <w:r>
              <w:rPr>
                <w:rFonts w:eastAsia="宋体"/>
                <w:sz w:val="21"/>
                <w:szCs w:val="21"/>
                <w:vertAlign w:val="superscript"/>
              </w:rPr>
              <w:t>2</w:t>
            </w:r>
            <w:r>
              <w:rPr>
                <w:rFonts w:hint="default" w:ascii="Times New Roman" w:hAnsi="Times New Roman" w:eastAsia="宋体" w:cs="Times New Roman"/>
                <w:sz w:val="21"/>
                <w:szCs w:val="21"/>
              </w:rPr>
              <w:t>）</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校内教学设施设备总值（万元）</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生均设备总值（元／生）</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校内大型教学仪器设备数量（台／套）</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校内大型教学仪器设备总值（万元）</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本学年校内实训基地设备使用率（</w:t>
            </w:r>
            <w:r>
              <w:rPr>
                <w:rFonts w:eastAsia="宋体"/>
                <w:sz w:val="21"/>
                <w:szCs w:val="21"/>
              </w:rPr>
              <w:t>％</w:t>
            </w:r>
            <w:r>
              <w:rPr>
                <w:rFonts w:hint="default" w:ascii="Times New Roman" w:hAnsi="Times New Roman" w:eastAsia="宋体" w:cs="Times New Roman"/>
                <w:sz w:val="21"/>
                <w:szCs w:val="21"/>
              </w:rPr>
              <w:t>）</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jc w:val="lef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本学年校内实训基地设备完好率（</w:t>
            </w:r>
            <w:r>
              <w:rPr>
                <w:rFonts w:eastAsia="宋体"/>
                <w:sz w:val="21"/>
                <w:szCs w:val="21"/>
              </w:rPr>
              <w:t>％</w:t>
            </w:r>
            <w:r>
              <w:rPr>
                <w:rFonts w:hint="default" w:ascii="Times New Roman" w:hAnsi="Times New Roman" w:eastAsia="宋体" w:cs="Times New Roman"/>
                <w:sz w:val="21"/>
                <w:szCs w:val="21"/>
              </w:rPr>
              <w:t>）</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近三年本专业投入经费总额（万元）</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近三年本专业为企业培训员工总数（人次）</w:t>
            </w:r>
          </w:p>
        </w:tc>
        <w:tc>
          <w:tcPr>
            <w:tcW w:w="699" w:type="dxa"/>
            <w:vAlign w:val="center"/>
          </w:tcPr>
          <w:p>
            <w:pPr>
              <w:widowControl w:val="0"/>
              <w:spacing w:line="240" w:lineRule="exact"/>
              <w:textAlignment w:val="baseline"/>
              <w:rPr>
                <w:rFonts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3804" w:type="dxa"/>
            <w:gridSpan w:val="2"/>
            <w:vAlign w:val="center"/>
          </w:tcPr>
          <w:p>
            <w:pPr>
              <w:widowControl w:val="0"/>
              <w:spacing w:line="240" w:lineRule="exact"/>
              <w:jc w:val="lef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近三年本专业教师获市以上竞赛奖人次</w:t>
            </w:r>
          </w:p>
        </w:tc>
        <w:tc>
          <w:tcPr>
            <w:tcW w:w="680" w:type="dxa"/>
            <w:vAlign w:val="center"/>
          </w:tcPr>
          <w:p>
            <w:pPr>
              <w:widowControl w:val="0"/>
              <w:spacing w:line="240" w:lineRule="exact"/>
              <w:textAlignment w:val="baseline"/>
              <w:rPr>
                <w:rFonts w:hint="default" w:ascii="Times New Roman" w:hAnsi="Times New Roman" w:eastAsia="宋体" w:cs="Times New Roman"/>
                <w:sz w:val="21"/>
                <w:szCs w:val="21"/>
              </w:rPr>
            </w:pPr>
          </w:p>
        </w:tc>
        <w:tc>
          <w:tcPr>
            <w:tcW w:w="4004" w:type="dxa"/>
            <w:gridSpan w:val="2"/>
            <w:vAlign w:val="center"/>
          </w:tcPr>
          <w:p>
            <w:pPr>
              <w:widowControl w:val="0"/>
              <w:spacing w:line="240" w:lineRule="exac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近三年本专业学生获市以上技能赛奖人次</w:t>
            </w:r>
          </w:p>
        </w:tc>
        <w:tc>
          <w:tcPr>
            <w:tcW w:w="699" w:type="dxa"/>
            <w:vAlign w:val="center"/>
          </w:tcPr>
          <w:p>
            <w:pPr>
              <w:widowControl w:val="0"/>
              <w:spacing w:line="240" w:lineRule="exact"/>
              <w:textAlignment w:val="baseline"/>
              <w:rPr>
                <w:rFonts w:eastAsia="宋体"/>
                <w:sz w:val="21"/>
                <w:szCs w:val="21"/>
              </w:rPr>
            </w:pPr>
          </w:p>
        </w:tc>
      </w:tr>
    </w:tbl>
    <w:p>
      <w:pPr>
        <w:widowControl/>
        <w:spacing w:line="460" w:lineRule="exact"/>
        <w:jc w:val="left"/>
        <w:textAlignment w:val="baseline"/>
        <w:rPr>
          <w:rFonts w:hint="default" w:ascii="Times New Roman" w:hAnsi="Times New Roman" w:eastAsia="方正黑体_GBK" w:cs="Times New Roman"/>
          <w:bCs/>
          <w:sz w:val="32"/>
          <w:szCs w:val="32"/>
        </w:rPr>
      </w:pPr>
      <w:r>
        <w:rPr>
          <w:rFonts w:ascii="Times New Roman" w:hAnsi="Times New Roman" w:eastAsia="微软雅黑"/>
          <w:szCs w:val="21"/>
        </w:rPr>
        <w:br w:type="page"/>
      </w:r>
      <w:r>
        <w:rPr>
          <w:rFonts w:ascii="Times New Roman" w:hAnsi="Times New Roman" w:eastAsia="方正黑体_GBK" w:cs="Times New Roman"/>
          <w:bCs/>
          <w:sz w:val="32"/>
          <w:szCs w:val="32"/>
        </w:rPr>
        <w:t>三、</w:t>
      </w:r>
      <w:r>
        <w:rPr>
          <w:rFonts w:hint="default" w:ascii="Times New Roman" w:hAnsi="Times New Roman" w:eastAsia="方正黑体_GBK" w:cs="Times New Roman"/>
          <w:bCs/>
          <w:sz w:val="32"/>
          <w:szCs w:val="32"/>
        </w:rPr>
        <w:t>专业群建设方案</w:t>
      </w:r>
    </w:p>
    <w:p>
      <w:pPr>
        <w:widowControl/>
        <w:spacing w:line="460" w:lineRule="exact"/>
        <w:jc w:val="left"/>
        <w:textAlignment w:val="baseline"/>
        <w:rPr>
          <w:rFonts w:hint="default" w:ascii="Times New Roman" w:hAnsi="Times New Roman" w:eastAsia="方正仿宋_GBK" w:cs="Times New Roman"/>
          <w:bCs/>
          <w:sz w:val="32"/>
          <w:szCs w:val="32"/>
        </w:rPr>
      </w:pPr>
      <w:r>
        <w:rPr>
          <w:rFonts w:eastAsia="方正仿宋_GBK"/>
          <w:bCs/>
          <w:sz w:val="32"/>
          <w:szCs w:val="32"/>
        </w:rPr>
        <w:t xml:space="preserve">3-1 </w:t>
      </w:r>
      <w:r>
        <w:rPr>
          <w:rFonts w:hint="default" w:ascii="Times New Roman" w:hAnsi="Times New Roman" w:eastAsia="方正仿宋_GBK" w:cs="Times New Roman"/>
          <w:bCs/>
          <w:sz w:val="32"/>
          <w:szCs w:val="32"/>
        </w:rPr>
        <w:t>建设基础</w:t>
      </w:r>
    </w:p>
    <w:tbl>
      <w:tblPr>
        <w:tblStyle w:val="6"/>
        <w:tblW w:w="9030" w:type="dxa"/>
        <w:tblInd w:w="-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820" w:hRule="atLeast"/>
        </w:trPr>
        <w:tc>
          <w:tcPr>
            <w:tcW w:w="9030" w:type="dxa"/>
            <w:tcBorders>
              <w:top w:val="single" w:color="000000" w:sz="8" w:space="0"/>
              <w:left w:val="single" w:color="000000" w:sz="8" w:space="0"/>
              <w:bottom w:val="single" w:color="000000" w:sz="8" w:space="0"/>
              <w:right w:val="single" w:color="000000" w:sz="8" w:space="0"/>
            </w:tcBorders>
            <w:vAlign w:val="top"/>
          </w:tcPr>
          <w:p>
            <w:r>
              <w:rPr>
                <w:rFonts w:hint="default" w:ascii="Times New Roman" w:hAnsi="Times New Roman" w:eastAsia="宋体" w:cs="Times New Roman"/>
                <w:sz w:val="21"/>
                <w:szCs w:val="21"/>
              </w:rPr>
              <w:t>（主要从拟建专业群各专业之间目标定位与组群逻辑、完善专业与产业融合发展机制、加强校企“双元”育人机制建设、推动校企师资互通共建、深化专业课程教学改革、注重职业技能竞赛、推进专业办学国际化、加强职业技能培训、树立品牌等方面阐述创建基础。）</w:t>
            </w:r>
          </w:p>
          <w:p/>
          <w:p/>
          <w:p/>
          <w:p/>
          <w:p/>
          <w:p/>
          <w:p/>
          <w:p/>
          <w:p/>
          <w:p/>
          <w:p/>
          <w:p/>
          <w:p/>
          <w:p/>
          <w:p/>
          <w:p/>
          <w:p/>
          <w:p/>
          <w:p/>
          <w:p/>
          <w:p/>
          <w:p/>
          <w:p/>
          <w:p/>
          <w:p/>
          <w:p/>
          <w:p/>
          <w:p/>
          <w:p/>
          <w:p/>
          <w:p/>
          <w:p/>
          <w:p/>
          <w:p/>
          <w:p>
            <w:pPr>
              <w:widowControl/>
              <w:jc w:val="left"/>
              <w:textAlignment w:val="baseline"/>
              <w:rPr>
                <w:rFonts w:ascii="Times New Roman" w:hAnsi="Times New Roman" w:eastAsia="宋体"/>
                <w:sz w:val="21"/>
                <w:szCs w:val="21"/>
              </w:rPr>
            </w:pPr>
          </w:p>
        </w:tc>
      </w:tr>
    </w:tbl>
    <w:p>
      <w:pPr>
        <w:widowControl/>
        <w:spacing w:line="460" w:lineRule="exact"/>
        <w:jc w:val="left"/>
        <w:textAlignment w:val="baseline"/>
        <w:rPr>
          <w:rFonts w:hint="default" w:eastAsia="方正仿宋_GBK"/>
          <w:bCs/>
          <w:sz w:val="32"/>
          <w:szCs w:val="32"/>
        </w:rPr>
      </w:pPr>
      <w:r>
        <w:rPr>
          <w:rFonts w:eastAsia="方正仿宋_GBK"/>
          <w:bCs/>
          <w:sz w:val="32"/>
          <w:szCs w:val="32"/>
        </w:rPr>
        <w:t>3-</w:t>
      </w:r>
      <w:r>
        <w:rPr>
          <w:rFonts w:hint="default" w:eastAsia="方正仿宋_GBK"/>
          <w:bCs/>
          <w:sz w:val="32"/>
          <w:szCs w:val="32"/>
        </w:rPr>
        <w:t>2</w:t>
      </w:r>
      <w:r>
        <w:rPr>
          <w:rFonts w:eastAsia="方正仿宋_GBK"/>
          <w:bCs/>
          <w:sz w:val="32"/>
          <w:szCs w:val="32"/>
        </w:rPr>
        <w:t xml:space="preserve"> 方案</w:t>
      </w:r>
      <w:r>
        <w:rPr>
          <w:rFonts w:hint="default" w:eastAsia="方正仿宋_GBK"/>
          <w:bCs/>
          <w:sz w:val="32"/>
          <w:szCs w:val="32"/>
        </w:rPr>
        <w:t>概述</w:t>
      </w:r>
    </w:p>
    <w:tbl>
      <w:tblPr>
        <w:tblStyle w:val="6"/>
        <w:tblW w:w="9030" w:type="dxa"/>
        <w:tblInd w:w="-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2267" w:hRule="atLeast"/>
        </w:trPr>
        <w:tc>
          <w:tcPr>
            <w:tcW w:w="9030" w:type="dxa"/>
            <w:tcBorders>
              <w:top w:val="single" w:color="000000" w:sz="8" w:space="0"/>
              <w:left w:val="single" w:color="000000" w:sz="8" w:space="0"/>
              <w:bottom w:val="single" w:color="000000" w:sz="8" w:space="0"/>
              <w:right w:val="single" w:color="000000" w:sz="8" w:space="0"/>
            </w:tcBorders>
            <w:vAlign w:val="top"/>
          </w:tcPr>
          <w:p>
            <w:r>
              <w:rPr>
                <w:rFonts w:hint="default" w:ascii="Times New Roman" w:hAnsi="Times New Roman" w:eastAsia="宋体" w:cs="Times New Roman"/>
                <w:sz w:val="21"/>
                <w:szCs w:val="21"/>
              </w:rPr>
              <w:t>（专业发展存在的问题、面临的形势</w:t>
            </w:r>
            <w:r>
              <w:rPr>
                <w:rFonts w:eastAsia="宋体"/>
                <w:sz w:val="21"/>
                <w:szCs w:val="21"/>
              </w:rPr>
              <w:t>、建设目标与思路、围绕</w:t>
            </w:r>
            <w:r>
              <w:rPr>
                <w:rFonts w:hint="default" w:eastAsia="宋体"/>
                <w:sz w:val="21"/>
                <w:szCs w:val="21"/>
              </w:rPr>
              <w:t>7</w:t>
            </w:r>
            <w:r>
              <w:rPr>
                <w:rFonts w:eastAsia="宋体"/>
                <w:sz w:val="21"/>
                <w:szCs w:val="21"/>
              </w:rPr>
              <w:t>个方面</w:t>
            </w:r>
            <w:r>
              <w:rPr>
                <w:rFonts w:hint="default" w:eastAsia="宋体"/>
                <w:sz w:val="21"/>
                <w:szCs w:val="21"/>
              </w:rPr>
              <w:t>重点</w:t>
            </w:r>
            <w:r>
              <w:rPr>
                <w:rFonts w:eastAsia="宋体"/>
                <w:sz w:val="21"/>
                <w:szCs w:val="21"/>
              </w:rPr>
              <w:t>任务的</w:t>
            </w:r>
            <w:r>
              <w:rPr>
                <w:rFonts w:hint="default" w:eastAsia="宋体"/>
                <w:sz w:val="21"/>
                <w:szCs w:val="21"/>
              </w:rPr>
              <w:t>具体</w:t>
            </w:r>
            <w:r>
              <w:rPr>
                <w:rFonts w:eastAsia="宋体"/>
                <w:sz w:val="21"/>
                <w:szCs w:val="21"/>
              </w:rPr>
              <w:t>举措</w:t>
            </w:r>
            <w:r>
              <w:rPr>
                <w:rFonts w:hint="default" w:eastAsia="宋体"/>
                <w:sz w:val="21"/>
                <w:szCs w:val="21"/>
              </w:rPr>
              <w:t>、</w:t>
            </w:r>
            <w:r>
              <w:rPr>
                <w:rFonts w:eastAsia="宋体"/>
                <w:sz w:val="21"/>
                <w:szCs w:val="21"/>
              </w:rPr>
              <w:t>资金预算、主要预期成果等</w:t>
            </w:r>
            <w:r>
              <w:rPr>
                <w:rFonts w:hint="default" w:eastAsia="宋体"/>
                <w:sz w:val="21"/>
                <w:szCs w:val="21"/>
              </w:rPr>
              <w:t>。）</w:t>
            </w:r>
          </w:p>
          <w:p/>
          <w:p/>
          <w:p/>
          <w:p/>
          <w:p/>
          <w:p/>
          <w:p/>
          <w:p/>
          <w:p/>
          <w:p/>
          <w:p/>
          <w:p/>
          <w:p/>
          <w:p/>
          <w:p/>
          <w:p/>
          <w:p/>
          <w:p/>
          <w:p/>
          <w:p/>
          <w:p/>
          <w:p/>
          <w:p/>
          <w:p/>
          <w:p/>
          <w:p/>
          <w:p/>
          <w:p/>
          <w:p/>
          <w:p/>
          <w:p/>
          <w:p/>
          <w:p/>
          <w:p/>
          <w:p/>
          <w:p>
            <w:pPr>
              <w:widowControl/>
              <w:jc w:val="left"/>
              <w:textAlignment w:val="baseline"/>
              <w:rPr>
                <w:rFonts w:ascii="Times New Roman" w:hAnsi="Times New Roman" w:eastAsia="宋体"/>
                <w:sz w:val="21"/>
                <w:szCs w:val="21"/>
              </w:rPr>
            </w:pPr>
          </w:p>
        </w:tc>
      </w:tr>
    </w:tbl>
    <w:p>
      <w:pPr>
        <w:widowControl/>
        <w:spacing w:line="460" w:lineRule="exact"/>
        <w:jc w:val="left"/>
        <w:textAlignment w:val="baseline"/>
        <w:rPr>
          <w:rFonts w:hint="default" w:ascii="Times New Roman" w:hAnsi="Times New Roman" w:eastAsia="方正仿宋_GBK" w:cs="Times New Roman"/>
          <w:sz w:val="32"/>
          <w:szCs w:val="32"/>
        </w:rPr>
      </w:pPr>
      <w:r>
        <w:rPr>
          <w:rFonts w:eastAsia="方正仿宋_GBK"/>
          <w:sz w:val="32"/>
          <w:szCs w:val="32"/>
        </w:rPr>
        <w:t>3-</w:t>
      </w:r>
      <w:r>
        <w:rPr>
          <w:rFonts w:hint="default" w:eastAsia="方正仿宋_GBK"/>
          <w:sz w:val="32"/>
          <w:szCs w:val="32"/>
        </w:rPr>
        <w:t>3</w:t>
      </w:r>
      <w:r>
        <w:rPr>
          <w:rFonts w:hint="default" w:ascii="Times New Roman" w:hAnsi="Times New Roman" w:eastAsia="方正仿宋_GBK" w:cs="Times New Roman"/>
          <w:sz w:val="32"/>
          <w:szCs w:val="32"/>
        </w:rPr>
        <w:t>建设进度</w:t>
      </w:r>
    </w:p>
    <w:tbl>
      <w:tblPr>
        <w:tblStyle w:val="6"/>
        <w:tblW w:w="902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310"/>
        <w:gridCol w:w="1233"/>
        <w:gridCol w:w="2339"/>
        <w:gridCol w:w="2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8" w:hRule="atLeast"/>
          <w:jc w:val="center"/>
        </w:trPr>
        <w:tc>
          <w:tcPr>
            <w:tcW w:w="709" w:type="dxa"/>
            <w:vMerge w:val="restart"/>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hint="default" w:ascii="Times New Roman" w:hAnsi="Times New Roman" w:eastAsia="方正黑体_GBK" w:cs="Times New Roman"/>
                <w:b w:val="0"/>
                <w:bCs/>
                <w:sz w:val="21"/>
                <w:szCs w:val="21"/>
              </w:rPr>
              <w:t>序号</w:t>
            </w:r>
          </w:p>
        </w:tc>
        <w:tc>
          <w:tcPr>
            <w:tcW w:w="3543" w:type="dxa"/>
            <w:gridSpan w:val="2"/>
            <w:vMerge w:val="restart"/>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hint="default" w:ascii="Times New Roman" w:hAnsi="Times New Roman" w:eastAsia="方正黑体_GBK" w:cs="Times New Roman"/>
                <w:b w:val="0"/>
                <w:bCs/>
                <w:sz w:val="21"/>
                <w:szCs w:val="21"/>
              </w:rPr>
              <w:t>建设内容</w:t>
            </w:r>
          </w:p>
        </w:tc>
        <w:tc>
          <w:tcPr>
            <w:tcW w:w="4777" w:type="dxa"/>
            <w:gridSpan w:val="2"/>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hint="default" w:ascii="Times New Roman" w:hAnsi="Times New Roman" w:eastAsia="方正黑体_GBK" w:cs="Times New Roman"/>
                <w:b w:val="0"/>
                <w:bCs/>
                <w:sz w:val="21"/>
                <w:szCs w:val="21"/>
              </w:rPr>
              <w:t>年度目标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709" w:type="dxa"/>
            <w:vMerge w:val="continue"/>
            <w:vAlign w:val="top"/>
          </w:tcPr>
          <w:p>
            <w:pPr>
              <w:widowControl/>
              <w:spacing w:line="240" w:lineRule="exact"/>
              <w:jc w:val="left"/>
              <w:textAlignment w:val="baseline"/>
              <w:rPr>
                <w:rFonts w:hint="default" w:ascii="Times New Roman" w:hAnsi="Times New Roman" w:eastAsia="宋体" w:cs="Times New Roman"/>
                <w:b w:val="0"/>
                <w:bCs/>
                <w:sz w:val="21"/>
                <w:szCs w:val="21"/>
              </w:rPr>
            </w:pPr>
          </w:p>
        </w:tc>
        <w:tc>
          <w:tcPr>
            <w:tcW w:w="3543" w:type="dxa"/>
            <w:gridSpan w:val="2"/>
            <w:vMerge w:val="continue"/>
            <w:vAlign w:val="top"/>
          </w:tcPr>
          <w:p>
            <w:pPr>
              <w:widowControl/>
              <w:spacing w:line="240" w:lineRule="exact"/>
              <w:jc w:val="left"/>
              <w:textAlignment w:val="baseline"/>
              <w:rPr>
                <w:rFonts w:hint="default" w:ascii="Times New Roman" w:hAnsi="Times New Roman" w:eastAsia="宋体" w:cs="Times New Roman"/>
                <w:b w:val="0"/>
                <w:bCs/>
                <w:sz w:val="21"/>
                <w:szCs w:val="21"/>
              </w:rPr>
            </w:pPr>
          </w:p>
        </w:tc>
        <w:tc>
          <w:tcPr>
            <w:tcW w:w="2339" w:type="dxa"/>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eastAsia="方正黑体_GBK"/>
                <w:b w:val="0"/>
                <w:bCs/>
                <w:sz w:val="21"/>
                <w:szCs w:val="21"/>
              </w:rPr>
              <w:t>202</w:t>
            </w:r>
            <w:r>
              <w:rPr>
                <w:rFonts w:hint="default" w:eastAsia="方正黑体_GBK"/>
                <w:b w:val="0"/>
                <w:bCs/>
                <w:sz w:val="21"/>
                <w:szCs w:val="21"/>
                <w:u w:val="single"/>
              </w:rPr>
              <w:t xml:space="preserve"> </w:t>
            </w:r>
            <w:r>
              <w:rPr>
                <w:rFonts w:hint="eastAsia" w:eastAsia="方正黑体_GBK"/>
                <w:bCs/>
                <w:sz w:val="21"/>
                <w:szCs w:val="21"/>
                <w:u w:val="single"/>
              </w:rPr>
              <w:t xml:space="preserve">  </w:t>
            </w:r>
            <w:r>
              <w:rPr>
                <w:rFonts w:hint="default" w:ascii="Times New Roman" w:hAnsi="Times New Roman" w:eastAsia="方正黑体_GBK" w:cs="Times New Roman"/>
                <w:b w:val="0"/>
                <w:bCs/>
                <w:sz w:val="21"/>
                <w:szCs w:val="21"/>
              </w:rPr>
              <w:t>年</w:t>
            </w:r>
          </w:p>
          <w:p>
            <w:pPr>
              <w:widowControl/>
              <w:spacing w:line="240" w:lineRule="exact"/>
              <w:jc w:val="center"/>
              <w:textAlignment w:val="baseline"/>
              <w:rPr>
                <w:rFonts w:eastAsia="方正黑体_GBK"/>
                <w:b w:val="0"/>
                <w:bCs/>
                <w:sz w:val="21"/>
                <w:szCs w:val="21"/>
              </w:rPr>
            </w:pPr>
            <w:r>
              <w:rPr>
                <w:rFonts w:hint="default" w:ascii="Times New Roman" w:hAnsi="Times New Roman" w:eastAsia="方正黑体_GBK" w:cs="Times New Roman"/>
                <w:sz w:val="21"/>
                <w:szCs w:val="21"/>
              </w:rPr>
              <w:t>（预期目标、验收要点）</w:t>
            </w:r>
          </w:p>
        </w:tc>
        <w:tc>
          <w:tcPr>
            <w:tcW w:w="2438" w:type="dxa"/>
            <w:vAlign w:val="center"/>
          </w:tcPr>
          <w:p>
            <w:pPr>
              <w:widowControl/>
              <w:spacing w:line="240" w:lineRule="exact"/>
              <w:jc w:val="center"/>
              <w:textAlignment w:val="baseline"/>
              <w:rPr>
                <w:rFonts w:hint="default" w:ascii="Times New Roman" w:hAnsi="Times New Roman" w:eastAsia="方正黑体_GBK" w:cs="Times New Roman"/>
                <w:b w:val="0"/>
                <w:bCs/>
                <w:sz w:val="21"/>
                <w:szCs w:val="21"/>
              </w:rPr>
            </w:pPr>
            <w:r>
              <w:rPr>
                <w:rFonts w:eastAsia="方正黑体_GBK"/>
                <w:b w:val="0"/>
                <w:bCs/>
                <w:sz w:val="21"/>
                <w:szCs w:val="21"/>
              </w:rPr>
              <w:t>202</w:t>
            </w:r>
            <w:r>
              <w:rPr>
                <w:rFonts w:hint="default" w:eastAsia="方正黑体_GBK"/>
                <w:b w:val="0"/>
                <w:bCs/>
                <w:sz w:val="21"/>
                <w:szCs w:val="21"/>
                <w:u w:val="single"/>
              </w:rPr>
              <w:t xml:space="preserve"> </w:t>
            </w:r>
            <w:r>
              <w:rPr>
                <w:rFonts w:hint="eastAsia" w:eastAsia="方正黑体_GBK"/>
                <w:bCs/>
                <w:sz w:val="21"/>
                <w:szCs w:val="21"/>
                <w:u w:val="single"/>
              </w:rPr>
              <w:t xml:space="preserve">  </w:t>
            </w:r>
            <w:r>
              <w:rPr>
                <w:rFonts w:hint="default" w:ascii="Times New Roman" w:hAnsi="Times New Roman" w:eastAsia="方正黑体_GBK" w:cs="Times New Roman"/>
                <w:b w:val="0"/>
                <w:bCs/>
                <w:sz w:val="21"/>
                <w:szCs w:val="21"/>
              </w:rPr>
              <w:t>年</w:t>
            </w:r>
          </w:p>
          <w:p>
            <w:pPr>
              <w:widowControl/>
              <w:spacing w:line="240" w:lineRule="exact"/>
              <w:jc w:val="center"/>
              <w:textAlignment w:val="baseline"/>
              <w:rPr>
                <w:rFonts w:eastAsia="方正黑体_GBK"/>
                <w:b w:val="0"/>
                <w:bCs/>
                <w:sz w:val="21"/>
                <w:szCs w:val="21"/>
              </w:rPr>
            </w:pPr>
            <w:r>
              <w:rPr>
                <w:rFonts w:hint="default" w:ascii="Times New Roman" w:hAnsi="Times New Roman" w:eastAsia="方正黑体_GBK" w:cs="Times New Roman"/>
                <w:sz w:val="21"/>
                <w:szCs w:val="21"/>
              </w:rPr>
              <w:t>（预期目标、验收要点）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1</w:t>
            </w:r>
          </w:p>
        </w:tc>
        <w:tc>
          <w:tcPr>
            <w:tcW w:w="2310" w:type="dxa"/>
            <w:vMerge w:val="restart"/>
            <w:vAlign w:val="center"/>
          </w:tcPr>
          <w:p>
            <w:pPr>
              <w:widowControl/>
              <w:spacing w:line="240" w:lineRule="exact"/>
              <w:jc w:val="center"/>
              <w:textAlignment w:val="baseline"/>
              <w:rPr>
                <w:rFonts w:hint="default" w:eastAsia="宋体"/>
                <w:bCs/>
                <w:sz w:val="21"/>
                <w:szCs w:val="21"/>
              </w:rPr>
            </w:pPr>
            <w:r>
              <w:rPr>
                <w:rFonts w:hint="default" w:ascii="Times New Roman" w:hAnsi="Times New Roman" w:eastAsia="宋体" w:cs="Times New Roman"/>
                <w:b w:val="0"/>
                <w:bCs/>
                <w:sz w:val="21"/>
                <w:szCs w:val="21"/>
              </w:rPr>
              <w:t>完善专业与产业</w:t>
            </w:r>
          </w:p>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融合发展机制</w:t>
            </w:r>
          </w:p>
        </w:tc>
        <w:tc>
          <w:tcPr>
            <w:tcW w:w="1233" w:type="dxa"/>
            <w:vAlign w:val="center"/>
          </w:tcPr>
          <w:p>
            <w:pPr>
              <w:widowControl/>
              <w:spacing w:line="240" w:lineRule="exact"/>
              <w:textAlignment w:val="baseline"/>
              <w:rPr>
                <w:rFonts w:eastAsia="宋体"/>
                <w:sz w:val="21"/>
                <w:szCs w:val="21"/>
              </w:rPr>
            </w:pPr>
            <w:r>
              <w:rPr>
                <w:rFonts w:eastAsia="宋体"/>
                <w:sz w:val="21"/>
                <w:szCs w:val="21"/>
              </w:rPr>
              <w:t xml:space="preserve">1. </w:t>
            </w:r>
          </w:p>
        </w:tc>
        <w:tc>
          <w:tcPr>
            <w:tcW w:w="2339" w:type="dxa"/>
            <w:vAlign w:val="center"/>
          </w:tcPr>
          <w:p>
            <w:pPr>
              <w:widowControl/>
              <w:spacing w:line="240" w:lineRule="exact"/>
              <w:jc w:val="left"/>
              <w:textAlignment w:val="baseline"/>
              <w:rPr>
                <w:rFonts w:eastAsia="宋体"/>
                <w:sz w:val="21"/>
                <w:szCs w:val="21"/>
              </w:rPr>
            </w:pPr>
          </w:p>
        </w:tc>
        <w:tc>
          <w:tcPr>
            <w:tcW w:w="2438" w:type="dxa"/>
            <w:vAlign w:val="center"/>
          </w:tcPr>
          <w:p>
            <w:pPr>
              <w:widowControl/>
              <w:spacing w:line="240" w:lineRule="exact"/>
              <w:jc w:val="left"/>
              <w:textAlignment w:val="baseline"/>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2</w:t>
            </w:r>
          </w:p>
        </w:tc>
        <w:tc>
          <w:tcPr>
            <w:tcW w:w="2310" w:type="dxa"/>
            <w:vMerge w:val="restart"/>
            <w:vAlign w:val="center"/>
          </w:tcPr>
          <w:p>
            <w:pPr>
              <w:widowControl/>
              <w:spacing w:line="240" w:lineRule="exact"/>
              <w:jc w:val="center"/>
              <w:textAlignment w:val="baseline"/>
              <w:rPr>
                <w:rFonts w:hint="default" w:eastAsia="宋体"/>
                <w:bCs/>
                <w:sz w:val="21"/>
                <w:szCs w:val="21"/>
              </w:rPr>
            </w:pPr>
            <w:r>
              <w:rPr>
                <w:rFonts w:hint="default" w:ascii="Times New Roman" w:hAnsi="Times New Roman" w:eastAsia="宋体" w:cs="Times New Roman"/>
                <w:b w:val="0"/>
                <w:bCs/>
                <w:sz w:val="21"/>
                <w:szCs w:val="21"/>
              </w:rPr>
              <w:t>加强校企“双元”</w:t>
            </w:r>
          </w:p>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育人机制建设</w:t>
            </w:r>
          </w:p>
        </w:tc>
        <w:tc>
          <w:tcPr>
            <w:tcW w:w="1233" w:type="dxa"/>
            <w:vAlign w:val="center"/>
          </w:tcPr>
          <w:p>
            <w:pPr>
              <w:widowControl/>
              <w:spacing w:line="240" w:lineRule="exact"/>
              <w:textAlignment w:val="baseline"/>
              <w:rPr>
                <w:rFonts w:eastAsia="宋体"/>
                <w:sz w:val="21"/>
                <w:szCs w:val="21"/>
              </w:rPr>
            </w:pPr>
            <w:r>
              <w:rPr>
                <w:rFonts w:eastAsia="宋体"/>
                <w:sz w:val="21"/>
                <w:szCs w:val="21"/>
              </w:rPr>
              <w:t>1.</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3</w:t>
            </w:r>
          </w:p>
        </w:tc>
        <w:tc>
          <w:tcPr>
            <w:tcW w:w="2310" w:type="dxa"/>
            <w:vMerge w:val="restart"/>
            <w:vAlign w:val="center"/>
          </w:tcPr>
          <w:p>
            <w:pPr>
              <w:widowControl/>
              <w:spacing w:line="240" w:lineRule="exact"/>
              <w:jc w:val="center"/>
              <w:textAlignment w:val="baseline"/>
              <w:rPr>
                <w:rFonts w:hint="default" w:eastAsia="宋体"/>
                <w:bCs/>
                <w:sz w:val="21"/>
                <w:szCs w:val="21"/>
              </w:rPr>
            </w:pPr>
            <w:r>
              <w:rPr>
                <w:rFonts w:hint="default" w:ascii="Times New Roman" w:hAnsi="Times New Roman" w:eastAsia="宋体" w:cs="Times New Roman"/>
                <w:b w:val="0"/>
                <w:bCs/>
                <w:sz w:val="21"/>
                <w:szCs w:val="21"/>
              </w:rPr>
              <w:t>推动校企师资</w:t>
            </w:r>
          </w:p>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互通共建</w:t>
            </w:r>
          </w:p>
        </w:tc>
        <w:tc>
          <w:tcPr>
            <w:tcW w:w="1233" w:type="dxa"/>
            <w:vAlign w:val="center"/>
          </w:tcPr>
          <w:p>
            <w:pPr>
              <w:widowControl/>
              <w:spacing w:line="240" w:lineRule="exact"/>
              <w:textAlignment w:val="baseline"/>
              <w:rPr>
                <w:rFonts w:eastAsia="宋体"/>
                <w:sz w:val="21"/>
                <w:szCs w:val="21"/>
              </w:rPr>
            </w:pPr>
            <w:r>
              <w:rPr>
                <w:rFonts w:eastAsia="宋体"/>
                <w:sz w:val="21"/>
                <w:szCs w:val="21"/>
              </w:rPr>
              <w:t>1.</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4</w:t>
            </w:r>
          </w:p>
        </w:tc>
        <w:tc>
          <w:tcPr>
            <w:tcW w:w="2310" w:type="dxa"/>
            <w:vMerge w:val="restart"/>
            <w:vAlign w:val="center"/>
          </w:tcPr>
          <w:p>
            <w:pPr>
              <w:widowControl/>
              <w:spacing w:line="240" w:lineRule="exact"/>
              <w:jc w:val="center"/>
              <w:textAlignment w:val="baseline"/>
              <w:rPr>
                <w:rFonts w:hint="default" w:eastAsia="宋体"/>
                <w:bCs/>
                <w:sz w:val="21"/>
                <w:szCs w:val="21"/>
              </w:rPr>
            </w:pPr>
            <w:r>
              <w:rPr>
                <w:rFonts w:hint="default" w:ascii="Times New Roman" w:hAnsi="Times New Roman" w:eastAsia="宋体" w:cs="Times New Roman"/>
                <w:b w:val="0"/>
                <w:bCs/>
                <w:sz w:val="21"/>
                <w:szCs w:val="21"/>
              </w:rPr>
              <w:t>深化专业课程</w:t>
            </w:r>
          </w:p>
          <w:p>
            <w:r>
              <w:rPr>
                <w:rFonts w:hint="default" w:ascii="Times New Roman" w:hAnsi="Times New Roman" w:eastAsia="宋体" w:cs="Times New Roman"/>
                <w:b w:val="0"/>
                <w:bCs/>
                <w:sz w:val="21"/>
                <w:szCs w:val="21"/>
              </w:rPr>
              <w:t>教学改革</w:t>
            </w:r>
          </w:p>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1.</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5</w:t>
            </w:r>
          </w:p>
        </w:tc>
        <w:tc>
          <w:tcPr>
            <w:tcW w:w="2310"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注重职业技能竞赛</w:t>
            </w:r>
          </w:p>
        </w:tc>
        <w:tc>
          <w:tcPr>
            <w:tcW w:w="1233" w:type="dxa"/>
            <w:vAlign w:val="center"/>
          </w:tcPr>
          <w:p>
            <w:pPr>
              <w:widowControl/>
              <w:spacing w:line="240" w:lineRule="exact"/>
              <w:textAlignment w:val="baseline"/>
              <w:rPr>
                <w:rFonts w:eastAsia="宋体"/>
                <w:sz w:val="21"/>
                <w:szCs w:val="21"/>
              </w:rPr>
            </w:pPr>
            <w:r>
              <w:rPr>
                <w:rFonts w:eastAsia="宋体"/>
                <w:sz w:val="21"/>
                <w:szCs w:val="21"/>
              </w:rPr>
              <w:t>1.</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6</w:t>
            </w:r>
          </w:p>
        </w:tc>
        <w:tc>
          <w:tcPr>
            <w:tcW w:w="2310" w:type="dxa"/>
            <w:vMerge w:val="restart"/>
            <w:vAlign w:val="center"/>
          </w:tcPr>
          <w:p>
            <w:r>
              <w:rPr>
                <w:rFonts w:hint="default" w:ascii="Times New Roman" w:hAnsi="Times New Roman" w:eastAsia="宋体" w:cs="Times New Roman"/>
                <w:b w:val="0"/>
                <w:bCs/>
                <w:sz w:val="21"/>
                <w:szCs w:val="21"/>
              </w:rPr>
              <w:t>推进专业办学国际化</w:t>
            </w:r>
          </w:p>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1.</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hint="default" w:ascii="Times New Roman" w:hAnsi="Times New Roman" w:eastAsia="宋体" w:cs="Times New Roman"/>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restart"/>
            <w:vAlign w:val="center"/>
          </w:tcPr>
          <w:p>
            <w:pPr>
              <w:widowControl/>
              <w:spacing w:line="240" w:lineRule="exact"/>
              <w:jc w:val="center"/>
              <w:textAlignment w:val="baseline"/>
              <w:rPr>
                <w:rFonts w:eastAsia="宋体"/>
                <w:b w:val="0"/>
                <w:bCs/>
                <w:sz w:val="21"/>
                <w:szCs w:val="21"/>
              </w:rPr>
            </w:pPr>
            <w:r>
              <w:rPr>
                <w:rFonts w:eastAsia="宋体"/>
                <w:b w:val="0"/>
                <w:bCs/>
                <w:sz w:val="21"/>
                <w:szCs w:val="21"/>
              </w:rPr>
              <w:t>7</w:t>
            </w:r>
          </w:p>
        </w:tc>
        <w:tc>
          <w:tcPr>
            <w:tcW w:w="2310" w:type="dxa"/>
            <w:vMerge w:val="restart"/>
            <w:vAlign w:val="center"/>
          </w:tcPr>
          <w:p>
            <w:pPr>
              <w:widowControl/>
              <w:spacing w:line="240" w:lineRule="exact"/>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加强职业技能培训</w:t>
            </w:r>
          </w:p>
        </w:tc>
        <w:tc>
          <w:tcPr>
            <w:tcW w:w="1233" w:type="dxa"/>
            <w:vAlign w:val="center"/>
          </w:tcPr>
          <w:p>
            <w:pPr>
              <w:widowControl/>
              <w:spacing w:line="240" w:lineRule="exact"/>
              <w:textAlignment w:val="baseline"/>
              <w:rPr>
                <w:rFonts w:eastAsia="宋体"/>
                <w:sz w:val="21"/>
                <w:szCs w:val="21"/>
              </w:rPr>
            </w:pPr>
            <w:r>
              <w:rPr>
                <w:rFonts w:eastAsia="宋体"/>
                <w:sz w:val="21"/>
                <w:szCs w:val="21"/>
              </w:rPr>
              <w:t>1.</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eastAsia="宋体"/>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2.</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709" w:type="dxa"/>
            <w:vMerge w:val="continue"/>
            <w:vAlign w:val="center"/>
          </w:tcPr>
          <w:p>
            <w:pPr>
              <w:widowControl/>
              <w:spacing w:line="240" w:lineRule="exact"/>
              <w:jc w:val="center"/>
              <w:textAlignment w:val="baseline"/>
              <w:rPr>
                <w:rFonts w:eastAsia="宋体"/>
                <w:b w:val="0"/>
                <w:bCs/>
                <w:sz w:val="21"/>
                <w:szCs w:val="21"/>
              </w:rPr>
            </w:pPr>
          </w:p>
        </w:tc>
        <w:tc>
          <w:tcPr>
            <w:tcW w:w="2310" w:type="dxa"/>
            <w:vMerge w:val="continue"/>
            <w:vAlign w:val="center"/>
          </w:tcPr>
          <w:p>
            <w:pPr>
              <w:widowControl/>
              <w:spacing w:line="240" w:lineRule="exact"/>
              <w:jc w:val="center"/>
              <w:textAlignment w:val="baseline"/>
              <w:rPr>
                <w:rFonts w:eastAsia="宋体"/>
                <w:b w:val="0"/>
                <w:bCs/>
                <w:sz w:val="21"/>
                <w:szCs w:val="21"/>
              </w:rPr>
            </w:pPr>
          </w:p>
        </w:tc>
        <w:tc>
          <w:tcPr>
            <w:tcW w:w="1233" w:type="dxa"/>
            <w:vAlign w:val="center"/>
          </w:tcPr>
          <w:p>
            <w:pPr>
              <w:widowControl/>
              <w:spacing w:line="240" w:lineRule="exact"/>
              <w:textAlignment w:val="baseline"/>
              <w:rPr>
                <w:rFonts w:eastAsia="宋体"/>
                <w:sz w:val="21"/>
                <w:szCs w:val="21"/>
              </w:rPr>
            </w:pPr>
            <w:r>
              <w:rPr>
                <w:rFonts w:eastAsia="宋体"/>
                <w:sz w:val="21"/>
                <w:szCs w:val="21"/>
              </w:rPr>
              <w:t>...</w:t>
            </w:r>
          </w:p>
        </w:tc>
        <w:tc>
          <w:tcPr>
            <w:tcW w:w="2339" w:type="dxa"/>
            <w:vAlign w:val="top"/>
          </w:tcPr>
          <w:p>
            <w:pPr>
              <w:widowControl/>
              <w:spacing w:line="240" w:lineRule="exact"/>
              <w:jc w:val="left"/>
              <w:textAlignment w:val="baseline"/>
              <w:rPr>
                <w:rFonts w:ascii="Times New Roman" w:hAnsi="Times New Roman" w:eastAsia="宋体"/>
                <w:sz w:val="21"/>
                <w:szCs w:val="21"/>
              </w:rPr>
            </w:pPr>
          </w:p>
        </w:tc>
        <w:tc>
          <w:tcPr>
            <w:tcW w:w="2438" w:type="dxa"/>
            <w:vAlign w:val="top"/>
          </w:tcPr>
          <w:p>
            <w:pPr>
              <w:widowControl/>
              <w:spacing w:line="240" w:lineRule="exact"/>
              <w:jc w:val="left"/>
              <w:textAlignment w:val="baseline"/>
              <w:rPr>
                <w:rFonts w:ascii="Times New Roman" w:hAnsi="Times New Roman" w:eastAsia="宋体"/>
                <w:sz w:val="21"/>
                <w:szCs w:val="21"/>
              </w:rPr>
            </w:pPr>
          </w:p>
        </w:tc>
      </w:tr>
    </w:tbl>
    <w:p>
      <w:pPr>
        <w:widowControl/>
        <w:spacing w:line="460" w:lineRule="exact"/>
        <w:jc w:val="left"/>
        <w:textAlignment w:val="baseline"/>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四、审核与批准意见</w:t>
      </w:r>
    </w:p>
    <w:tbl>
      <w:tblPr>
        <w:tblStyle w:val="6"/>
        <w:tblW w:w="921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855" w:hRule="atLeast"/>
          <w:jc w:val="center"/>
        </w:trPr>
        <w:tc>
          <w:tcPr>
            <w:tcW w:w="9215" w:type="dxa"/>
            <w:tcBorders>
              <w:top w:val="single" w:color="000000" w:sz="8" w:space="0"/>
              <w:left w:val="single" w:color="000000" w:sz="8" w:space="0"/>
              <w:bottom w:val="single" w:color="000000" w:sz="6" w:space="0"/>
              <w:right w:val="single" w:color="000000" w:sz="8" w:space="0"/>
            </w:tcBorders>
            <w:vAlign w:val="top"/>
          </w:tcPr>
          <w:p>
            <w:pPr>
              <w:widowControl/>
              <w:snapToGrid w:val="0"/>
              <w:spacing w:before="120" w:beforeLines="50" w:line="400" w:lineRule="exact"/>
              <w:textAlignment w:val="baseline"/>
              <w:rPr>
                <w:rFonts w:eastAsia="宋体"/>
                <w:b w:val="0"/>
                <w:sz w:val="21"/>
                <w:szCs w:val="21"/>
              </w:rPr>
            </w:pPr>
            <w:r>
              <w:rPr>
                <w:rFonts w:eastAsia="宋体"/>
                <w:b w:val="0"/>
                <w:sz w:val="21"/>
                <w:szCs w:val="21"/>
              </w:rPr>
              <w:t>市级人社部门意见</w:t>
            </w:r>
          </w:p>
          <w:p>
            <w:pPr>
              <w:widowControl/>
              <w:tabs>
                <w:tab w:val="left" w:pos="825"/>
              </w:tabs>
              <w:snapToGrid w:val="0"/>
              <w:spacing w:before="120" w:beforeLines="50"/>
              <w:textAlignment w:val="baseline"/>
              <w:rPr>
                <w:rFonts w:eastAsia="宋体"/>
                <w:b w:val="0"/>
                <w:sz w:val="21"/>
                <w:szCs w:val="21"/>
              </w:rPr>
            </w:pPr>
            <w:r>
              <w:rPr>
                <w:rFonts w:eastAsia="宋体"/>
                <w:b w:val="0"/>
                <w:sz w:val="21"/>
                <w:szCs w:val="21"/>
              </w:rPr>
              <w:tab/>
            </w:r>
          </w:p>
          <w:p>
            <w:pPr>
              <w:widowControl/>
              <w:snapToGrid w:val="0"/>
              <w:spacing w:before="120" w:beforeLines="50"/>
              <w:textAlignment w:val="baseline"/>
              <w:rPr>
                <w:rFonts w:hint="default" w:ascii="Times New Roman" w:hAnsi="Times New Roman" w:eastAsia="宋体"/>
                <w:sz w:val="21"/>
                <w:szCs w:val="21"/>
              </w:rPr>
            </w:pPr>
          </w:p>
          <w:p>
            <w:pPr>
              <w:widowControl/>
              <w:snapToGrid w:val="0"/>
              <w:spacing w:before="120" w:beforeLines="50"/>
              <w:textAlignment w:val="baseline"/>
              <w:rPr>
                <w:rFonts w:hint="default" w:eastAsia="宋体"/>
                <w:sz w:val="21"/>
                <w:szCs w:val="21"/>
              </w:rPr>
            </w:pPr>
          </w:p>
          <w:p>
            <w:pPr>
              <w:widowControl/>
              <w:snapToGrid w:val="0"/>
              <w:spacing w:before="120" w:beforeLines="50"/>
              <w:textAlignment w:val="baseline"/>
              <w:rPr>
                <w:rFonts w:hint="default" w:eastAsia="宋体"/>
                <w:sz w:val="21"/>
                <w:szCs w:val="21"/>
              </w:rPr>
            </w:pPr>
          </w:p>
          <w:p>
            <w:pPr>
              <w:widowControl/>
              <w:snapToGrid w:val="0"/>
              <w:spacing w:before="120" w:beforeLines="50"/>
              <w:textAlignment w:val="baseline"/>
              <w:rPr>
                <w:rFonts w:eastAsia="宋体"/>
                <w:b w:val="0"/>
                <w:sz w:val="21"/>
                <w:szCs w:val="21"/>
              </w:rPr>
            </w:pPr>
          </w:p>
          <w:p/>
          <w:p/>
          <w:p/>
          <w:p/>
          <w:p>
            <w:r>
              <w:rPr>
                <w:rFonts w:hint="default" w:eastAsia="宋体"/>
                <w:sz w:val="21"/>
                <w:szCs w:val="21"/>
              </w:rPr>
              <w:t xml:space="preserve">  </w:t>
            </w:r>
          </w:p>
          <w:p>
            <w:pPr>
              <w:widowControl/>
              <w:snapToGrid w:val="0"/>
              <w:spacing w:before="120" w:beforeLines="50"/>
              <w:textAlignment w:val="baseline"/>
              <w:rPr>
                <w:rFonts w:eastAsia="宋体"/>
                <w:b w:val="0"/>
                <w:sz w:val="21"/>
                <w:szCs w:val="21"/>
              </w:rPr>
            </w:pPr>
            <w:r>
              <w:rPr>
                <w:rFonts w:hint="default" w:eastAsia="宋体"/>
                <w:sz w:val="21"/>
                <w:szCs w:val="21"/>
              </w:rPr>
              <w:t xml:space="preserve">                      </w:t>
            </w:r>
          </w:p>
          <w:p>
            <w:pPr>
              <w:widowControl/>
              <w:snapToGrid w:val="0"/>
              <w:spacing w:before="120" w:beforeLines="50"/>
              <w:textAlignment w:val="baseline"/>
              <w:rPr>
                <w:rFonts w:hint="default" w:ascii="Times New Roman" w:hAnsi="Times New Roman" w:eastAsia="宋体" w:cs="Times New Roman"/>
                <w:sz w:val="21"/>
                <w:szCs w:val="21"/>
              </w:rPr>
            </w:pPr>
            <w:r>
              <w:rPr>
                <w:rFonts w:eastAsia="宋体"/>
                <w:b w:val="0"/>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b w:val="0"/>
                <w:sz w:val="21"/>
                <w:szCs w:val="21"/>
              </w:rPr>
              <w:t xml:space="preserve">     </w:t>
            </w:r>
            <w:r>
              <w:rPr>
                <w:rFonts w:hint="default" w:ascii="Times New Roman" w:hAnsi="Times New Roman" w:eastAsia="宋体" w:cs="Times New Roman"/>
                <w:sz w:val="21"/>
                <w:szCs w:val="21"/>
              </w:rPr>
              <w:t>XX市人力资源和社会保障局（公章）</w:t>
            </w:r>
          </w:p>
          <w:p>
            <w:pPr>
              <w:widowControl/>
              <w:tabs>
                <w:tab w:val="left" w:pos="6510"/>
              </w:tabs>
              <w:snapToGrid w:val="0"/>
              <w:spacing w:before="120" w:beforeLines="50"/>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sz w:val="21"/>
                <w:szCs w:val="21"/>
              </w:rPr>
              <w:t xml:space="preserve">   年    月    日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52" w:hRule="atLeast"/>
          <w:jc w:val="center"/>
        </w:trPr>
        <w:tc>
          <w:tcPr>
            <w:tcW w:w="9215" w:type="dxa"/>
            <w:tcBorders>
              <w:top w:val="single" w:color="000000" w:sz="6" w:space="0"/>
              <w:left w:val="single" w:color="000000" w:sz="8" w:space="0"/>
              <w:bottom w:val="single" w:color="000000" w:sz="6" w:space="0"/>
              <w:right w:val="single" w:color="000000" w:sz="8" w:space="0"/>
            </w:tcBorders>
            <w:vAlign w:val="top"/>
          </w:tcPr>
          <w:p>
            <w:pPr>
              <w:widowControl/>
              <w:spacing w:before="120" w:beforeLines="50" w:line="400" w:lineRule="exact"/>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省级专家组评审意见</w:t>
            </w:r>
          </w:p>
          <w:p>
            <w:pPr>
              <w:widowControl/>
              <w:spacing w:before="120" w:beforeLines="50"/>
              <w:textAlignment w:val="baseline"/>
              <w:rPr>
                <w:rFonts w:hint="default" w:ascii="Times New Roman" w:hAnsi="Times New Roman" w:eastAsia="宋体" w:cs="Times New Roman"/>
                <w:b w:val="0"/>
                <w:sz w:val="21"/>
                <w:szCs w:val="21"/>
              </w:rPr>
            </w:pPr>
          </w:p>
          <w:p/>
          <w:p>
            <w:r>
              <w:rPr>
                <w:rFonts w:hint="default" w:ascii="Times New Roman" w:hAnsi="Times New Roman" w:eastAsia="宋体" w:cs="Times New Roman"/>
                <w:b w:val="0"/>
                <w:sz w:val="21"/>
                <w:szCs w:val="21"/>
              </w:rPr>
              <w:t xml:space="preserve">         </w:t>
            </w:r>
          </w:p>
          <w:p/>
          <w:p>
            <w:pPr>
              <w:widowControl/>
              <w:spacing w:before="120" w:beforeLines="50"/>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 xml:space="preserve">                      </w:t>
            </w:r>
          </w:p>
          <w:p>
            <w:pPr>
              <w:widowControl/>
              <w:spacing w:before="120" w:beforeLines="50"/>
              <w:textAlignment w:val="baseline"/>
              <w:rPr>
                <w:rFonts w:hint="default" w:ascii="Times New Roman" w:hAnsi="Times New Roman" w:eastAsia="宋体" w:cs="Times New Roman"/>
                <w:b w:val="0"/>
                <w:sz w:val="21"/>
                <w:szCs w:val="21"/>
              </w:rPr>
            </w:pPr>
          </w:p>
          <w:p>
            <w:pPr>
              <w:widowControl/>
              <w:spacing w:before="120" w:beforeLines="50"/>
              <w:textAlignment w:val="baseline"/>
              <w:rPr>
                <w:rFonts w:hint="default" w:eastAsia="宋体"/>
                <w:sz w:val="21"/>
                <w:szCs w:val="21"/>
              </w:rPr>
            </w:pPr>
            <w:r>
              <w:rPr>
                <w:rFonts w:hint="default" w:ascii="Times New Roman" w:hAnsi="Times New Roman" w:eastAsia="宋体" w:cs="Times New Roman"/>
                <w:b w:val="0"/>
                <w:sz w:val="21"/>
                <w:szCs w:val="21"/>
              </w:rPr>
              <w:t xml:space="preserve">      </w:t>
            </w:r>
          </w:p>
          <w:p>
            <w:pPr>
              <w:widowControl/>
              <w:spacing w:before="120" w:beforeLines="50"/>
              <w:textAlignment w:val="baseline"/>
              <w:rPr>
                <w:rFonts w:hint="default" w:eastAsia="宋体"/>
                <w:sz w:val="21"/>
                <w:szCs w:val="21"/>
              </w:rPr>
            </w:pPr>
          </w:p>
          <w:p>
            <w:pPr>
              <w:widowControl/>
              <w:spacing w:before="120" w:beforeLines="50"/>
              <w:textAlignment w:val="baseline"/>
              <w:rPr>
                <w:rFonts w:hint="default" w:ascii="Times New Roman" w:hAnsi="Times New Roman" w:eastAsia="宋体" w:cs="Times New Roman"/>
                <w:sz w:val="21"/>
                <w:szCs w:val="21"/>
              </w:rPr>
            </w:pPr>
          </w:p>
          <w:p>
            <w:pPr>
              <w:widowControl/>
              <w:spacing w:before="120" w:beforeLines="50"/>
              <w:ind w:firstLine="4200" w:firstLineChars="2000"/>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专家组长签名：</w:t>
            </w:r>
          </w:p>
          <w:p>
            <w:pPr>
              <w:widowControl/>
              <w:spacing w:before="120" w:beforeLines="50"/>
              <w:ind w:right="132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sz w:val="21"/>
                <w:szCs w:val="21"/>
              </w:rPr>
              <w:t xml:space="preserve">      </w:t>
            </w:r>
            <w:r>
              <w:rPr>
                <w:rFonts w:eastAsia="宋体"/>
                <w:sz w:val="21"/>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29" w:hRule="atLeast"/>
          <w:jc w:val="center"/>
        </w:trPr>
        <w:tc>
          <w:tcPr>
            <w:tcW w:w="9215" w:type="dxa"/>
            <w:tcBorders>
              <w:top w:val="single" w:color="000000" w:sz="6" w:space="0"/>
              <w:left w:val="single" w:color="000000" w:sz="8" w:space="0"/>
              <w:bottom w:val="single" w:color="000000" w:sz="8" w:space="0"/>
              <w:right w:val="single" w:color="000000" w:sz="8" w:space="0"/>
            </w:tcBorders>
            <w:vAlign w:val="top"/>
          </w:tcPr>
          <w:p>
            <w:pPr>
              <w:widowControl/>
              <w:spacing w:before="120" w:beforeLines="50" w:line="400" w:lineRule="exact"/>
              <w:textAlignment w:val="baseline"/>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省级人社部门意见</w:t>
            </w:r>
          </w:p>
          <w:p>
            <w:pPr>
              <w:widowControl/>
              <w:spacing w:before="120" w:beforeLines="50"/>
              <w:textAlignment w:val="baseline"/>
              <w:rPr>
                <w:rFonts w:hint="default" w:ascii="Times New Roman" w:hAnsi="Times New Roman" w:eastAsia="宋体" w:cs="Times New Roman"/>
                <w:b w:val="0"/>
                <w:sz w:val="21"/>
                <w:szCs w:val="21"/>
              </w:rPr>
            </w:pPr>
          </w:p>
          <w:p>
            <w:pPr>
              <w:widowControl/>
              <w:spacing w:before="120" w:beforeLines="50"/>
              <w:textAlignment w:val="baseline"/>
              <w:rPr>
                <w:rFonts w:hint="default" w:eastAsia="宋体"/>
                <w:sz w:val="21"/>
                <w:szCs w:val="21"/>
              </w:rPr>
            </w:pPr>
          </w:p>
          <w:p>
            <w:pPr>
              <w:widowControl/>
              <w:spacing w:before="120" w:beforeLines="50"/>
              <w:textAlignment w:val="baseline"/>
              <w:rPr>
                <w:rFonts w:hint="default" w:eastAsia="宋体"/>
                <w:sz w:val="21"/>
                <w:szCs w:val="21"/>
              </w:rPr>
            </w:pPr>
          </w:p>
          <w:p>
            <w:pPr>
              <w:widowControl/>
              <w:spacing w:before="120" w:beforeLines="50"/>
              <w:textAlignment w:val="baseline"/>
              <w:rPr>
                <w:rFonts w:hint="default" w:ascii="Times New Roman" w:hAnsi="Times New Roman" w:eastAsia="宋体" w:cs="Times New Roman"/>
                <w:b w:val="0"/>
                <w:sz w:val="21"/>
                <w:szCs w:val="21"/>
              </w:rPr>
            </w:pPr>
          </w:p>
          <w:p/>
          <w:p>
            <w:pPr>
              <w:widowControl/>
              <w:spacing w:before="120" w:beforeLines="50"/>
              <w:textAlignment w:val="baseline"/>
              <w:rPr>
                <w:rFonts w:hint="default" w:ascii="Times New Roman" w:hAnsi="Times New Roman" w:eastAsia="宋体" w:cs="Times New Roman"/>
                <w:b w:val="0"/>
                <w:sz w:val="21"/>
                <w:szCs w:val="21"/>
              </w:rPr>
            </w:pPr>
          </w:p>
          <w:p/>
          <w:p/>
          <w:p>
            <w:pPr>
              <w:widowControl/>
              <w:spacing w:before="120" w:beforeLines="50"/>
              <w:textAlignment w:val="baseline"/>
              <w:rPr>
                <w:rFonts w:hint="default" w:ascii="Times New Roman" w:hAnsi="Times New Roman" w:eastAsia="宋体" w:cs="Times New Roman"/>
                <w:b w:val="0"/>
                <w:sz w:val="21"/>
                <w:szCs w:val="21"/>
              </w:rPr>
            </w:pPr>
          </w:p>
          <w:p>
            <w:pPr>
              <w:widowControl/>
              <w:spacing w:before="120" w:beforeLines="50"/>
              <w:textAlignment w:val="baseline"/>
              <w:rPr>
                <w:rFonts w:hint="default" w:ascii="Times New Roman" w:hAnsi="Times New Roman" w:eastAsia="宋体" w:cs="Times New Roman"/>
                <w:b w:val="0"/>
                <w:sz w:val="21"/>
                <w:szCs w:val="21"/>
              </w:rPr>
            </w:pPr>
          </w:p>
          <w:p>
            <w:pPr>
              <w:widowControl/>
              <w:spacing w:before="120" w:beforeLines="50"/>
              <w:ind w:firstLine="4641" w:firstLineChars="2210"/>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江苏省人力资源和社会保障厅（公章）</w:t>
            </w:r>
          </w:p>
          <w:p>
            <w:r>
              <w:rPr>
                <w:rFonts w:hint="default" w:ascii="Times New Roman" w:hAnsi="Times New Roman" w:eastAsia="宋体" w:cs="Times New Roman"/>
                <w:sz w:val="21"/>
                <w:szCs w:val="21"/>
              </w:rPr>
              <w:t xml:space="preserve">                                           </w:t>
            </w:r>
            <w:r>
              <w:rPr>
                <w:rFonts w:hint="default" w:ascii="Times New Roman" w:hAnsi="Times New Roman" w:eastAsia="宋体"/>
                <w:sz w:val="21"/>
                <w:szCs w:val="21"/>
              </w:rPr>
              <w:t xml:space="preserve">       </w:t>
            </w:r>
            <w:r>
              <w:rPr>
                <w:rFonts w:hint="default" w:ascii="Times New Roman" w:hAnsi="Times New Roman" w:eastAsia="宋体" w:cs="Times New Roman"/>
                <w:sz w:val="21"/>
                <w:szCs w:val="21"/>
              </w:rPr>
              <w:t xml:space="preserve">  </w:t>
            </w:r>
            <w:r>
              <w:rPr>
                <w:rFonts w:eastAsia="宋体"/>
                <w:sz w:val="21"/>
                <w:szCs w:val="21"/>
              </w:rPr>
              <w:t>年    月    日</w:t>
            </w:r>
          </w:p>
          <w:p>
            <w:pPr>
              <w:widowControl/>
              <w:spacing w:before="120" w:beforeLines="50"/>
              <w:textAlignment w:val="baseline"/>
              <w:rPr>
                <w:rFonts w:hint="default" w:ascii="Times New Roman" w:hAnsi="Times New Roman" w:eastAsia="宋体" w:cs="Times New Roman"/>
                <w:b w:val="0"/>
                <w:sz w:val="21"/>
                <w:szCs w:val="21"/>
              </w:rPr>
            </w:pPr>
          </w:p>
        </w:tc>
      </w:tr>
    </w:tbl>
    <w:p>
      <w:pPr>
        <w:keepNext w:val="0"/>
        <w:keepLines w:val="0"/>
        <w:widowControl w:val="0"/>
        <w:spacing w:before="100" w:beforeAutospacing="1" w:after="0" w:line="560" w:lineRule="exact"/>
        <w:jc w:val="center"/>
        <w:textAlignment w:val="auto"/>
        <w:outlineLvl w:val="9"/>
        <w:rPr>
          <w:rFonts w:hint="default" w:eastAsia="方正小标宋_GBK"/>
          <w:sz w:val="44"/>
          <w:szCs w:val="44"/>
        </w:rPr>
      </w:pPr>
      <w:r>
        <w:rPr>
          <w:rFonts w:hint="default" w:ascii="Times New Roman" w:eastAsia="方正小标宋_GBK"/>
          <w:bCs w:val="0"/>
          <w:kern w:val="2"/>
          <w:sz w:val="44"/>
          <w:szCs w:val="44"/>
        </w:rPr>
        <w:t>江苏省技工院校品牌特色专业群评选标准</w:t>
      </w:r>
    </w:p>
    <w:p>
      <w:pPr>
        <w:keepNext w:val="0"/>
        <w:keepLines w:val="0"/>
        <w:widowControl w:val="0"/>
        <w:spacing w:before="0" w:after="100" w:afterAutospacing="1" w:line="560" w:lineRule="exact"/>
        <w:jc w:val="center"/>
        <w:textAlignment w:val="auto"/>
        <w:outlineLvl w:val="9"/>
        <w:rPr>
          <w:rFonts w:hint="default" w:ascii="Times New Roman" w:eastAsia="方正黑体_GBK"/>
          <w:bCs w:val="0"/>
          <w:kern w:val="2"/>
          <w:sz w:val="32"/>
          <w:szCs w:val="32"/>
        </w:rPr>
      </w:pPr>
      <w:r>
        <w:rPr>
          <w:rFonts w:hint="default" w:ascii="Times New Roman" w:eastAsia="方正黑体_GBK"/>
          <w:bCs w:val="0"/>
          <w:kern w:val="2"/>
          <w:sz w:val="32"/>
          <w:szCs w:val="32"/>
        </w:rPr>
        <w:t>（基础分25分）</w:t>
      </w:r>
    </w:p>
    <w:tbl>
      <w:tblPr>
        <w:tblStyle w:val="6"/>
        <w:tblW w:w="88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2"/>
        <w:gridCol w:w="915"/>
        <w:gridCol w:w="5082"/>
        <w:gridCol w:w="770"/>
        <w:gridCol w:w="7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tblHeader/>
          <w:jc w:val="center"/>
        </w:trPr>
        <w:tc>
          <w:tcPr>
            <w:tcW w:w="1312" w:type="dxa"/>
            <w:vAlign w:val="center"/>
          </w:tcPr>
          <w:p>
            <w:r>
              <w:rPr>
                <w:rFonts w:eastAsia="方正黑体_GBK"/>
                <w:b w:val="0"/>
                <w:bCs/>
                <w:sz w:val="18"/>
                <w:szCs w:val="18"/>
              </w:rPr>
              <w:t>一级</w:t>
            </w:r>
          </w:p>
          <w:p>
            <w:pPr>
              <w:widowControl/>
              <w:spacing w:line="240" w:lineRule="exact"/>
              <w:jc w:val="center"/>
              <w:textAlignment w:val="baseline"/>
              <w:rPr>
                <w:rFonts w:eastAsia="方正黑体_GBK"/>
                <w:b w:val="0"/>
                <w:bCs/>
                <w:sz w:val="18"/>
                <w:szCs w:val="18"/>
              </w:rPr>
            </w:pPr>
            <w:r>
              <w:rPr>
                <w:rFonts w:eastAsia="方正黑体_GBK"/>
                <w:b w:val="0"/>
                <w:bCs/>
                <w:sz w:val="18"/>
                <w:szCs w:val="18"/>
              </w:rPr>
              <w:t>指标</w:t>
            </w:r>
          </w:p>
        </w:tc>
        <w:tc>
          <w:tcPr>
            <w:tcW w:w="915" w:type="dxa"/>
            <w:vAlign w:val="center"/>
          </w:tcPr>
          <w:p>
            <w:r>
              <w:rPr>
                <w:rFonts w:eastAsia="方正黑体_GBK"/>
                <w:b w:val="0"/>
                <w:bCs/>
                <w:sz w:val="18"/>
                <w:szCs w:val="18"/>
              </w:rPr>
              <w:t>二级</w:t>
            </w:r>
          </w:p>
          <w:p>
            <w:pPr>
              <w:widowControl/>
              <w:spacing w:line="240" w:lineRule="exact"/>
              <w:jc w:val="center"/>
              <w:textAlignment w:val="baseline"/>
              <w:rPr>
                <w:rFonts w:eastAsia="方正黑体_GBK"/>
                <w:b w:val="0"/>
                <w:bCs/>
                <w:sz w:val="18"/>
                <w:szCs w:val="18"/>
              </w:rPr>
            </w:pPr>
            <w:r>
              <w:rPr>
                <w:rFonts w:eastAsia="方正黑体_GBK"/>
                <w:b w:val="0"/>
                <w:bCs/>
                <w:sz w:val="18"/>
                <w:szCs w:val="18"/>
              </w:rPr>
              <w:t>指标</w:t>
            </w:r>
          </w:p>
        </w:tc>
        <w:tc>
          <w:tcPr>
            <w:tcW w:w="5082" w:type="dxa"/>
            <w:vAlign w:val="center"/>
          </w:tcPr>
          <w:p>
            <w:pPr>
              <w:widowControl/>
              <w:spacing w:line="240" w:lineRule="exact"/>
              <w:jc w:val="center"/>
              <w:textAlignment w:val="baseline"/>
              <w:rPr>
                <w:rFonts w:eastAsia="方正黑体_GBK"/>
                <w:b w:val="0"/>
                <w:bCs/>
                <w:sz w:val="18"/>
                <w:szCs w:val="18"/>
              </w:rPr>
            </w:pPr>
            <w:r>
              <w:rPr>
                <w:rFonts w:eastAsia="方正黑体_GBK"/>
                <w:b w:val="0"/>
                <w:bCs/>
                <w:sz w:val="18"/>
                <w:szCs w:val="18"/>
              </w:rPr>
              <w:t>评审内容</w:t>
            </w:r>
          </w:p>
        </w:tc>
        <w:tc>
          <w:tcPr>
            <w:tcW w:w="770" w:type="dxa"/>
            <w:vAlign w:val="center"/>
          </w:tcPr>
          <w:p>
            <w:pPr>
              <w:widowControl/>
              <w:spacing w:line="240" w:lineRule="exact"/>
              <w:jc w:val="center"/>
              <w:textAlignment w:val="baseline"/>
              <w:rPr>
                <w:rFonts w:eastAsia="方正黑体_GBK"/>
                <w:b w:val="0"/>
                <w:bCs/>
                <w:sz w:val="18"/>
                <w:szCs w:val="18"/>
              </w:rPr>
            </w:pPr>
            <w:r>
              <w:rPr>
                <w:rFonts w:eastAsia="方正黑体_GBK"/>
                <w:b w:val="0"/>
                <w:bCs/>
                <w:sz w:val="18"/>
                <w:szCs w:val="18"/>
              </w:rPr>
              <w:t>分值</w:t>
            </w:r>
          </w:p>
        </w:tc>
        <w:tc>
          <w:tcPr>
            <w:tcW w:w="779" w:type="dxa"/>
            <w:vAlign w:val="center"/>
          </w:tcPr>
          <w:p>
            <w:pPr>
              <w:widowControl/>
              <w:spacing w:line="240" w:lineRule="exact"/>
              <w:jc w:val="center"/>
              <w:textAlignment w:val="baseline"/>
              <w:rPr>
                <w:rFonts w:eastAsia="方正黑体_GBK"/>
                <w:b w:val="0"/>
                <w:bCs/>
                <w:sz w:val="18"/>
                <w:szCs w:val="18"/>
              </w:rPr>
            </w:pPr>
            <w:r>
              <w:rPr>
                <w:rFonts w:eastAsia="方正黑体_GBK"/>
                <w:b w:val="0"/>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98" w:hRule="atLeast"/>
          <w:jc w:val="center"/>
        </w:trPr>
        <w:tc>
          <w:tcPr>
            <w:tcW w:w="1312" w:type="dxa"/>
            <w:vMerge w:val="restart"/>
            <w:vAlign w:val="center"/>
          </w:tcPr>
          <w:p>
            <w:pPr>
              <w:widowControl/>
              <w:spacing w:line="240" w:lineRule="exact"/>
              <w:textAlignment w:val="baseline"/>
              <w:rPr>
                <w:rFonts w:hint="default" w:eastAsia="宋体"/>
                <w:b w:val="0"/>
                <w:bCs/>
                <w:sz w:val="18"/>
                <w:szCs w:val="18"/>
              </w:rPr>
            </w:pPr>
            <w:r>
              <w:rPr>
                <w:rFonts w:eastAsia="宋体"/>
                <w:b w:val="0"/>
                <w:bCs/>
                <w:sz w:val="18"/>
                <w:szCs w:val="18"/>
              </w:rPr>
              <w:t>一、</w:t>
            </w:r>
            <w:r>
              <w:rPr>
                <w:rFonts w:hint="default" w:eastAsia="宋体"/>
                <w:b w:val="0"/>
                <w:bCs/>
                <w:sz w:val="18"/>
                <w:szCs w:val="18"/>
              </w:rPr>
              <w:t>建设基础</w:t>
            </w: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1-1</w:t>
            </w:r>
          </w:p>
          <w:p>
            <w:pPr>
              <w:widowControl/>
              <w:spacing w:line="240" w:lineRule="exact"/>
              <w:jc w:val="center"/>
              <w:textAlignment w:val="baseline"/>
              <w:rPr>
                <w:rFonts w:eastAsia="宋体"/>
                <w:b w:val="0"/>
                <w:bCs/>
                <w:sz w:val="18"/>
                <w:szCs w:val="18"/>
              </w:rPr>
            </w:pPr>
            <w:r>
              <w:rPr>
                <w:rFonts w:hint="default" w:eastAsia="宋体"/>
                <w:b w:val="0"/>
                <w:bCs/>
                <w:sz w:val="18"/>
                <w:szCs w:val="18"/>
              </w:rPr>
              <w:t>组群专业</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申报专业群由3至5个专业基础相通、技术领域相近、职业岗位相关、教学资源共享的专业构成。组群专业中至少有一个省级示范专业或重点专业或特色专业。</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1</w:t>
            </w:r>
            <w:r>
              <w:rPr>
                <w:rFonts w:hint="default" w:eastAsia="宋体"/>
                <w:b w:val="0"/>
                <w:bCs/>
                <w:sz w:val="18"/>
                <w:szCs w:val="18"/>
              </w:rPr>
              <w:t>-</w:t>
            </w:r>
            <w:r>
              <w:rPr>
                <w:rFonts w:eastAsia="宋体"/>
                <w:b w:val="0"/>
                <w:bCs/>
                <w:sz w:val="18"/>
                <w:szCs w:val="18"/>
              </w:rPr>
              <w:t>2</w:t>
            </w:r>
          </w:p>
          <w:p>
            <w:pPr>
              <w:widowControl/>
              <w:spacing w:line="240" w:lineRule="exact"/>
              <w:jc w:val="center"/>
              <w:textAlignment w:val="baseline"/>
              <w:rPr>
                <w:rFonts w:eastAsia="宋体"/>
                <w:b w:val="0"/>
                <w:bCs/>
                <w:sz w:val="18"/>
                <w:szCs w:val="18"/>
              </w:rPr>
            </w:pPr>
            <w:r>
              <w:rPr>
                <w:rFonts w:hint="default" w:eastAsia="宋体"/>
                <w:b w:val="0"/>
                <w:bCs/>
                <w:sz w:val="18"/>
                <w:szCs w:val="18"/>
              </w:rPr>
              <w:t>专业群定位</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申报专业群定位准确，特色鲜明，与地方主导产业契合度高，有较强的社会影响力。</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1</w:t>
            </w:r>
            <w:r>
              <w:rPr>
                <w:rFonts w:hint="default" w:eastAsia="宋体"/>
                <w:b w:val="0"/>
                <w:bCs/>
                <w:sz w:val="18"/>
                <w:szCs w:val="18"/>
              </w:rPr>
              <w:t>-3</w:t>
            </w:r>
          </w:p>
          <w:p>
            <w:pPr>
              <w:widowControl/>
              <w:spacing w:line="240" w:lineRule="exact"/>
              <w:jc w:val="center"/>
              <w:textAlignment w:val="baseline"/>
              <w:rPr>
                <w:rFonts w:eastAsia="宋体"/>
                <w:sz w:val="18"/>
                <w:szCs w:val="18"/>
              </w:rPr>
            </w:pPr>
            <w:r>
              <w:rPr>
                <w:rFonts w:hint="default" w:eastAsia="宋体"/>
                <w:b w:val="0"/>
                <w:bCs/>
                <w:sz w:val="18"/>
                <w:szCs w:val="18"/>
              </w:rPr>
              <w:t>规模条件</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专业群全日制技工教育在校生规模不少于500人。</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23" w:hRule="atLeas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专业群生均实习实训场地建筑面积不少于7.5平方米，加工制造类设施设备总值不少于1500万元，其他类设施设备总值不少于800万元，实习工位数满足两人一岗要求。</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restart"/>
            <w:vAlign w:val="center"/>
          </w:tcPr>
          <w:p>
            <w:pPr>
              <w:widowControl/>
              <w:spacing w:line="240" w:lineRule="exact"/>
              <w:jc w:val="left"/>
              <w:textAlignment w:val="baseline"/>
              <w:rPr>
                <w:rFonts w:hint="default" w:eastAsia="宋体"/>
                <w:b w:val="0"/>
                <w:bCs/>
                <w:sz w:val="18"/>
                <w:szCs w:val="18"/>
              </w:rPr>
            </w:pPr>
            <w:r>
              <w:rPr>
                <w:rFonts w:eastAsia="宋体"/>
                <w:b w:val="0"/>
                <w:bCs/>
                <w:sz w:val="18"/>
                <w:szCs w:val="18"/>
              </w:rPr>
              <w:t>二、师资</w:t>
            </w:r>
            <w:r>
              <w:rPr>
                <w:rFonts w:hint="default" w:eastAsia="宋体"/>
                <w:b w:val="0"/>
                <w:bCs/>
                <w:sz w:val="18"/>
                <w:szCs w:val="18"/>
              </w:rPr>
              <w:t>队伍</w:t>
            </w: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2-1</w:t>
            </w:r>
          </w:p>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师资规模</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专业群内学制教育师生比不低于1:18。</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center"/>
          </w:tcPr>
          <w:p>
            <w:pPr>
              <w:widowControl/>
              <w:spacing w:line="240" w:lineRule="exact"/>
              <w:jc w:val="center"/>
              <w:textAlignment w:val="baseline"/>
              <w:rPr>
                <w:rFonts w:hint="default" w:eastAsia="宋体"/>
                <w:b w:val="0"/>
                <w:bCs/>
                <w:sz w:val="18"/>
                <w:szCs w:val="18"/>
              </w:rPr>
            </w:pP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2-2</w:t>
            </w:r>
          </w:p>
          <w:p>
            <w:pPr>
              <w:widowControl/>
              <w:spacing w:line="240" w:lineRule="exact"/>
              <w:jc w:val="center"/>
              <w:textAlignment w:val="baseline"/>
              <w:rPr>
                <w:rFonts w:hint="default" w:eastAsia="宋体"/>
                <w:b w:val="0"/>
                <w:bCs/>
                <w:color w:val="1D00F1"/>
                <w:sz w:val="18"/>
                <w:szCs w:val="18"/>
              </w:rPr>
            </w:pPr>
            <w:r>
              <w:rPr>
                <w:rFonts w:hint="default" w:eastAsia="宋体"/>
                <w:b w:val="0"/>
                <w:bCs/>
                <w:sz w:val="18"/>
                <w:szCs w:val="18"/>
              </w:rPr>
              <w:t>师资结构</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专业群内教师应全部符合国家规定的学历、资格要求。专业兼职教师人数不得超过教师总数的30%。</w:t>
            </w:r>
          </w:p>
        </w:tc>
        <w:tc>
          <w:tcPr>
            <w:tcW w:w="770" w:type="dxa"/>
            <w:vAlign w:val="center"/>
          </w:tcPr>
          <w:p>
            <w:pPr>
              <w:widowControl/>
              <w:spacing w:line="240" w:lineRule="exact"/>
              <w:jc w:val="center"/>
              <w:textAlignment w:val="baseline"/>
              <w:rPr>
                <w:rFonts w:hint="default" w:eastAsia="宋体"/>
                <w:color w:val="1D00F1"/>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8" w:hRule="atLeast"/>
          <w:jc w:val="center"/>
        </w:trPr>
        <w:tc>
          <w:tcPr>
            <w:tcW w:w="1312" w:type="dxa"/>
            <w:vMerge w:val="continue"/>
            <w:vAlign w:val="center"/>
          </w:tcPr>
          <w:p>
            <w:pPr>
              <w:widowControl/>
              <w:spacing w:line="240" w:lineRule="exact"/>
              <w:jc w:val="center"/>
              <w:textAlignment w:val="baseline"/>
              <w:rPr>
                <w:rFonts w:hint="default" w:eastAsia="宋体"/>
                <w:b w:val="0"/>
                <w:bCs/>
                <w:sz w:val="18"/>
                <w:szCs w:val="18"/>
              </w:rPr>
            </w:pPr>
          </w:p>
        </w:tc>
        <w:tc>
          <w:tcPr>
            <w:tcW w:w="915" w:type="dxa"/>
            <w:vMerge w:val="continue"/>
            <w:vAlign w:val="center"/>
          </w:tcPr>
          <w:p>
            <w:pPr>
              <w:widowControl/>
              <w:spacing w:line="240" w:lineRule="exact"/>
              <w:jc w:val="center"/>
              <w:textAlignment w:val="baseline"/>
              <w:rPr>
                <w:rFonts w:eastAsia="宋体"/>
                <w:b w:val="0"/>
                <w:bCs/>
                <w:sz w:val="18"/>
                <w:szCs w:val="18"/>
              </w:rPr>
            </w:pPr>
          </w:p>
        </w:tc>
        <w:tc>
          <w:tcPr>
            <w:tcW w:w="5082" w:type="dxa"/>
            <w:vAlign w:val="center"/>
          </w:tcPr>
          <w:p>
            <w:pPr>
              <w:widowControl/>
              <w:spacing w:line="240" w:lineRule="exact"/>
              <w:textAlignment w:val="baseline"/>
              <w:rPr>
                <w:rFonts w:eastAsia="宋体"/>
                <w:sz w:val="18"/>
                <w:szCs w:val="18"/>
              </w:rPr>
            </w:pPr>
            <w:r>
              <w:rPr>
                <w:rFonts w:hint="default" w:eastAsia="宋体"/>
                <w:sz w:val="18"/>
                <w:szCs w:val="18"/>
              </w:rPr>
              <w:t>专业群内具有企业实践经验的教师应占教师总数的25%以上。</w:t>
            </w:r>
          </w:p>
        </w:tc>
        <w:tc>
          <w:tcPr>
            <w:tcW w:w="770" w:type="dxa"/>
            <w:vAlign w:val="center"/>
          </w:tcPr>
          <w:p>
            <w:pPr>
              <w:widowControl/>
              <w:spacing w:line="240" w:lineRule="exact"/>
              <w:jc w:val="center"/>
              <w:textAlignment w:val="baseline"/>
              <w:rPr>
                <w:rFonts w:hint="default" w:eastAsia="宋体"/>
                <w:color w:val="1D00F1"/>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专业群的专业技术理论课教师和实习指导教师不低于教师总数70%，一体化率不低于70%。</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专业群具有高级职称或高级技师职业资格的人数不少于总数的40%。具有较为完善的师资梯队培养机制。</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restart"/>
            <w:vAlign w:val="center"/>
          </w:tcPr>
          <w:p>
            <w:pPr>
              <w:widowControl/>
              <w:spacing w:line="240" w:lineRule="exact"/>
              <w:jc w:val="left"/>
              <w:textAlignment w:val="baseline"/>
              <w:rPr>
                <w:rFonts w:hint="default" w:eastAsia="宋体"/>
                <w:b w:val="0"/>
                <w:bCs/>
                <w:sz w:val="18"/>
                <w:szCs w:val="18"/>
              </w:rPr>
            </w:pPr>
            <w:r>
              <w:rPr>
                <w:rFonts w:eastAsia="宋体"/>
                <w:b w:val="0"/>
                <w:bCs/>
                <w:sz w:val="18"/>
                <w:szCs w:val="18"/>
              </w:rPr>
              <w:t>三、</w:t>
            </w:r>
            <w:r>
              <w:rPr>
                <w:rFonts w:hint="default" w:eastAsia="宋体"/>
                <w:b w:val="0"/>
                <w:bCs/>
                <w:sz w:val="18"/>
                <w:szCs w:val="18"/>
              </w:rPr>
              <w:t>技能竞赛</w:t>
            </w: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3</w:t>
            </w:r>
            <w:r>
              <w:rPr>
                <w:rFonts w:hint="default" w:eastAsia="宋体"/>
                <w:b w:val="0"/>
                <w:bCs/>
                <w:sz w:val="18"/>
                <w:szCs w:val="18"/>
              </w:rPr>
              <w:t>-1</w:t>
            </w:r>
          </w:p>
          <w:p>
            <w:pPr>
              <w:widowControl/>
              <w:spacing w:line="240" w:lineRule="exact"/>
              <w:jc w:val="center"/>
              <w:textAlignment w:val="baseline"/>
              <w:rPr>
                <w:rFonts w:eastAsia="宋体"/>
                <w:b w:val="0"/>
                <w:bCs/>
                <w:sz w:val="18"/>
                <w:szCs w:val="18"/>
              </w:rPr>
            </w:pPr>
            <w:r>
              <w:rPr>
                <w:rFonts w:hint="default" w:eastAsia="宋体"/>
                <w:b w:val="0"/>
                <w:bCs/>
                <w:sz w:val="18"/>
                <w:szCs w:val="18"/>
              </w:rPr>
              <w:t>基地建设</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专业群按照世赛、国赛标准建设集训基地，举办高技能人才培养“青苗班”。</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jc w:val="center"/>
        </w:trPr>
        <w:tc>
          <w:tcPr>
            <w:tcW w:w="1312" w:type="dxa"/>
            <w:vMerge w:val="continue"/>
            <w:vAlign w:val="top"/>
          </w:tcPr>
          <w:p>
            <w:pPr>
              <w:widowControl/>
              <w:spacing w:line="240" w:lineRule="exact"/>
              <w:jc w:val="center"/>
              <w:textAlignment w:val="baseline"/>
              <w:rPr>
                <w:rFonts w:eastAsia="宋体"/>
                <w:b w:val="0"/>
                <w:bCs/>
                <w:sz w:val="18"/>
                <w:szCs w:val="18"/>
                <w:highlight w:val="yellow"/>
              </w:rPr>
            </w:pP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3</w:t>
            </w:r>
            <w:r>
              <w:rPr>
                <w:rFonts w:hint="default" w:eastAsia="宋体"/>
                <w:b w:val="0"/>
                <w:bCs/>
                <w:sz w:val="18"/>
                <w:szCs w:val="18"/>
              </w:rPr>
              <w:t>-2</w:t>
            </w:r>
          </w:p>
          <w:p>
            <w:pPr>
              <w:widowControl/>
              <w:spacing w:line="240" w:lineRule="exact"/>
              <w:jc w:val="center"/>
              <w:textAlignment w:val="baseline"/>
              <w:rPr>
                <w:rFonts w:eastAsia="宋体"/>
                <w:b w:val="0"/>
                <w:bCs/>
                <w:sz w:val="18"/>
                <w:szCs w:val="18"/>
              </w:rPr>
            </w:pPr>
            <w:r>
              <w:rPr>
                <w:rFonts w:hint="default" w:eastAsia="宋体"/>
                <w:b w:val="0"/>
                <w:bCs/>
                <w:sz w:val="18"/>
                <w:szCs w:val="18"/>
              </w:rPr>
              <w:t>赛事服务</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专业群承办过与专业群相关的省级以上职业技能竞赛活动。</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restart"/>
            <w:vAlign w:val="center"/>
          </w:tcPr>
          <w:p>
            <w:pPr>
              <w:widowControl/>
              <w:spacing w:line="240" w:lineRule="exact"/>
              <w:jc w:val="left"/>
              <w:textAlignment w:val="baseline"/>
              <w:rPr>
                <w:rFonts w:hint="default" w:eastAsia="宋体"/>
                <w:b w:val="0"/>
                <w:bCs/>
                <w:sz w:val="18"/>
                <w:szCs w:val="18"/>
              </w:rPr>
            </w:pPr>
            <w:r>
              <w:rPr>
                <w:rFonts w:eastAsia="宋体"/>
                <w:b w:val="0"/>
                <w:bCs/>
                <w:sz w:val="18"/>
                <w:szCs w:val="18"/>
              </w:rPr>
              <w:t>四、校企合作</w:t>
            </w: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4-1</w:t>
            </w:r>
          </w:p>
          <w:p>
            <w:pPr>
              <w:widowControl/>
              <w:spacing w:line="240" w:lineRule="exact"/>
              <w:jc w:val="center"/>
              <w:textAlignment w:val="baseline"/>
              <w:rPr>
                <w:rFonts w:eastAsia="宋体"/>
                <w:b w:val="0"/>
                <w:bCs/>
                <w:sz w:val="18"/>
                <w:szCs w:val="18"/>
              </w:rPr>
            </w:pPr>
            <w:r>
              <w:rPr>
                <w:rFonts w:hint="default" w:eastAsia="宋体"/>
                <w:b w:val="0"/>
                <w:bCs/>
                <w:sz w:val="18"/>
                <w:szCs w:val="18"/>
              </w:rPr>
              <w:t>制度建设</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专业群有校企合作、产学研相结合的制度，产教融合有目标，校企合作有规划。</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5" w:hRule="atLeast"/>
          <w:jc w:val="center"/>
        </w:trPr>
        <w:tc>
          <w:tcPr>
            <w:tcW w:w="1312" w:type="dxa"/>
            <w:vMerge w:val="continue"/>
            <w:vAlign w:val="top"/>
          </w:tcPr>
          <w:p>
            <w:pPr>
              <w:widowControl/>
              <w:spacing w:line="240" w:lineRule="exact"/>
              <w:jc w:val="center"/>
              <w:textAlignment w:val="baseline"/>
              <w:rPr>
                <w:rFonts w:eastAsia="宋体"/>
                <w:b w:val="0"/>
                <w:bCs/>
                <w:sz w:val="18"/>
                <w:szCs w:val="18"/>
                <w:highlight w:val="yellow"/>
              </w:rPr>
            </w:pP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4-2</w:t>
            </w:r>
          </w:p>
          <w:p>
            <w:pPr>
              <w:widowControl/>
              <w:spacing w:line="240" w:lineRule="exact"/>
              <w:jc w:val="center"/>
              <w:textAlignment w:val="baseline"/>
              <w:rPr>
                <w:rFonts w:eastAsia="宋体"/>
                <w:b w:val="0"/>
                <w:bCs/>
                <w:sz w:val="18"/>
                <w:szCs w:val="18"/>
              </w:rPr>
            </w:pPr>
            <w:r>
              <w:rPr>
                <w:rFonts w:hint="default" w:eastAsia="宋体"/>
                <w:b w:val="0"/>
                <w:bCs/>
                <w:sz w:val="18"/>
                <w:szCs w:val="18"/>
              </w:rPr>
              <w:t>机制建设</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专业群内各专业均有1个以上深度合作的大中型企业，形成了产教融合资源共享、专业特色共建、招生就业联动、人才共育共享及社会服务共担等机制。</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top"/>
          </w:tcPr>
          <w:p>
            <w:pPr>
              <w:widowControl/>
              <w:spacing w:line="240" w:lineRule="exact"/>
              <w:jc w:val="center"/>
              <w:textAlignment w:val="baseline"/>
              <w:rPr>
                <w:rFonts w:eastAsia="宋体"/>
                <w:b w:val="0"/>
                <w:bCs/>
                <w:sz w:val="18"/>
                <w:szCs w:val="18"/>
                <w:highlight w:val="yellow"/>
              </w:rPr>
            </w:pP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4-3</w:t>
            </w:r>
          </w:p>
          <w:p>
            <w:pPr>
              <w:widowControl/>
              <w:spacing w:line="240" w:lineRule="exact"/>
              <w:jc w:val="center"/>
              <w:textAlignment w:val="baseline"/>
              <w:rPr>
                <w:rFonts w:eastAsia="宋体"/>
                <w:b w:val="0"/>
                <w:bCs/>
                <w:sz w:val="18"/>
                <w:szCs w:val="18"/>
                <w:highlight w:val="yellow"/>
              </w:rPr>
            </w:pPr>
            <w:r>
              <w:rPr>
                <w:rFonts w:hint="default" w:eastAsia="宋体"/>
                <w:b w:val="0"/>
                <w:bCs/>
                <w:sz w:val="18"/>
                <w:szCs w:val="18"/>
              </w:rPr>
              <w:t>成功案例</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开设了企业“订单班”、“冠名班”。校企共同招生招工、共商专业建设、共建实训基地、共搭管理平台、共评培养质量。</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restart"/>
            <w:vAlign w:val="center"/>
          </w:tcPr>
          <w:p>
            <w:pPr>
              <w:widowControl/>
              <w:spacing w:line="240" w:lineRule="exact"/>
              <w:textAlignment w:val="baseline"/>
              <w:rPr>
                <w:rFonts w:eastAsia="宋体"/>
                <w:b w:val="0"/>
                <w:bCs/>
                <w:sz w:val="18"/>
                <w:szCs w:val="18"/>
              </w:rPr>
            </w:pPr>
            <w:r>
              <w:rPr>
                <w:rFonts w:eastAsia="宋体"/>
                <w:b w:val="0"/>
                <w:bCs/>
                <w:sz w:val="18"/>
                <w:szCs w:val="18"/>
              </w:rPr>
              <w:t>五、</w:t>
            </w:r>
            <w:r>
              <w:rPr>
                <w:rFonts w:hint="default" w:eastAsia="宋体"/>
                <w:b w:val="0"/>
                <w:bCs/>
                <w:sz w:val="18"/>
                <w:szCs w:val="18"/>
              </w:rPr>
              <w:t>教学改革</w:t>
            </w:r>
          </w:p>
        </w:tc>
        <w:tc>
          <w:tcPr>
            <w:tcW w:w="915" w:type="dxa"/>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5-1</w:t>
            </w:r>
          </w:p>
          <w:p>
            <w:pPr>
              <w:widowControl/>
              <w:spacing w:line="240" w:lineRule="exact"/>
              <w:jc w:val="center"/>
              <w:textAlignment w:val="baseline"/>
              <w:rPr>
                <w:rFonts w:eastAsia="宋体"/>
                <w:b w:val="0"/>
                <w:bCs/>
                <w:sz w:val="18"/>
                <w:szCs w:val="18"/>
              </w:rPr>
            </w:pPr>
            <w:r>
              <w:rPr>
                <w:rFonts w:hint="default" w:eastAsia="宋体"/>
                <w:b w:val="0"/>
                <w:bCs/>
                <w:sz w:val="18"/>
                <w:szCs w:val="18"/>
              </w:rPr>
              <w:t>机制建设</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专业群内各专业成立有行业、企业参与的专业建设委员会并定期开展活动，指导专业建设。</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center"/>
          </w:tcPr>
          <w:p>
            <w:pPr>
              <w:widowControl/>
              <w:spacing w:line="240" w:lineRule="exact"/>
              <w:textAlignment w:val="baseline"/>
              <w:rPr>
                <w:rFonts w:eastAsia="宋体"/>
                <w:b w:val="0"/>
                <w:bCs/>
                <w:sz w:val="18"/>
                <w:szCs w:val="18"/>
              </w:rPr>
            </w:pP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eastAsia="宋体"/>
                <w:b w:val="0"/>
                <w:bCs/>
                <w:sz w:val="18"/>
                <w:szCs w:val="18"/>
              </w:rPr>
              <w:t>5</w:t>
            </w:r>
            <w:r>
              <w:rPr>
                <w:rFonts w:hint="default" w:eastAsia="宋体"/>
                <w:b w:val="0"/>
                <w:bCs/>
                <w:sz w:val="18"/>
                <w:szCs w:val="18"/>
              </w:rPr>
              <w:t>-</w:t>
            </w:r>
            <w:r>
              <w:rPr>
                <w:rFonts w:eastAsia="宋体"/>
                <w:b w:val="0"/>
                <w:bCs/>
                <w:sz w:val="18"/>
                <w:szCs w:val="18"/>
              </w:rPr>
              <w:t>2</w:t>
            </w:r>
          </w:p>
          <w:p>
            <w:pPr>
              <w:widowControl/>
              <w:spacing w:line="240" w:lineRule="exact"/>
              <w:jc w:val="center"/>
              <w:textAlignment w:val="baseline"/>
              <w:rPr>
                <w:rFonts w:eastAsia="宋体"/>
                <w:b w:val="0"/>
                <w:bCs/>
                <w:sz w:val="18"/>
                <w:szCs w:val="18"/>
              </w:rPr>
            </w:pPr>
            <w:r>
              <w:rPr>
                <w:rFonts w:hint="default" w:eastAsia="宋体"/>
                <w:b w:val="0"/>
                <w:bCs/>
                <w:sz w:val="18"/>
                <w:szCs w:val="18"/>
              </w:rPr>
              <w:t>课改成效</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专业群内各专业积极参与一体化课改试点或主动按照人社部一体化课改标准实施一体化课程教学。</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97" w:hRule="atLeas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根据专业群建设要求实施课程改革，建立符合专业群重构需要、满足企业需求、反映生产新技术、新工艺、新规范的一体化课程体系。</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exac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专业群内各专业制定了规范的一体化人才培养方案、课程标准，开发了工作页等。</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24" w:hRule="atLeast"/>
          <w:jc w:val="center"/>
        </w:trPr>
        <w:tc>
          <w:tcPr>
            <w:tcW w:w="1312"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六、国际化办学</w:t>
            </w:r>
          </w:p>
        </w:tc>
        <w:tc>
          <w:tcPr>
            <w:tcW w:w="915"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6-1</w:t>
            </w:r>
          </w:p>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办学成效</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专业群积极开展国际化办学。借助海外行业协会、培训机构、职业院校的优质教育资源开展中外合作，引进国际通用职业资格标准和先进职业教育理念并有效实施。</w:t>
            </w:r>
          </w:p>
        </w:tc>
        <w:tc>
          <w:tcPr>
            <w:tcW w:w="770" w:type="dxa"/>
            <w:vAlign w:val="center"/>
          </w:tcPr>
          <w:p>
            <w:pPr>
              <w:widowControl/>
              <w:spacing w:line="240" w:lineRule="exact"/>
              <w:jc w:val="center"/>
              <w:textAlignment w:val="baseline"/>
              <w:rPr>
                <w:rFonts w:hint="default" w:eastAsia="宋体"/>
                <w:sz w:val="18"/>
                <w:szCs w:val="18"/>
                <w:highlight w:val="yellow"/>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6" w:hRule="atLeast"/>
          <w:jc w:val="center"/>
        </w:trPr>
        <w:tc>
          <w:tcPr>
            <w:tcW w:w="1312"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七、人才评价</w:t>
            </w:r>
          </w:p>
        </w:tc>
        <w:tc>
          <w:tcPr>
            <w:tcW w:w="915"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7-1</w:t>
            </w:r>
          </w:p>
          <w:p>
            <w:pPr>
              <w:widowControl/>
              <w:spacing w:line="240" w:lineRule="exact"/>
              <w:jc w:val="center"/>
              <w:textAlignment w:val="baseline"/>
              <w:rPr>
                <w:rFonts w:hint="default" w:eastAsia="宋体"/>
                <w:b w:val="0"/>
                <w:bCs/>
                <w:color w:val="1D00F1"/>
                <w:sz w:val="18"/>
                <w:szCs w:val="18"/>
              </w:rPr>
            </w:pPr>
            <w:r>
              <w:rPr>
                <w:rFonts w:hint="default" w:eastAsia="宋体"/>
                <w:b w:val="0"/>
                <w:bCs/>
                <w:sz w:val="18"/>
                <w:szCs w:val="18"/>
              </w:rPr>
              <w:t>资源开发</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专业群积极参与重点行业、新职业、新工种技能人才评价技术资源开发工作，建立评价体系。</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37" w:hRule="exact"/>
          <w:jc w:val="center"/>
        </w:trPr>
        <w:tc>
          <w:tcPr>
            <w:tcW w:w="1312" w:type="dxa"/>
            <w:vMerge w:val="continue"/>
            <w:vAlign w:val="center"/>
          </w:tcPr>
          <w:p>
            <w:pPr>
              <w:widowControl/>
              <w:spacing w:line="240" w:lineRule="exact"/>
              <w:jc w:val="center"/>
              <w:textAlignment w:val="baseline"/>
              <w:rPr>
                <w:rFonts w:hint="default" w:eastAsia="宋体"/>
                <w:b w:val="0"/>
                <w:bCs/>
                <w:sz w:val="18"/>
                <w:szCs w:val="18"/>
              </w:rPr>
            </w:pPr>
          </w:p>
        </w:tc>
        <w:tc>
          <w:tcPr>
            <w:tcW w:w="915"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7-2</w:t>
            </w:r>
          </w:p>
          <w:p>
            <w:pPr>
              <w:widowControl/>
              <w:spacing w:line="240" w:lineRule="exact"/>
              <w:jc w:val="center"/>
              <w:textAlignment w:val="baseline"/>
              <w:rPr>
                <w:rFonts w:hint="default" w:eastAsia="宋体"/>
                <w:b w:val="0"/>
                <w:bCs/>
                <w:color w:val="1D00F1"/>
                <w:sz w:val="18"/>
                <w:szCs w:val="18"/>
              </w:rPr>
            </w:pPr>
            <w:r>
              <w:rPr>
                <w:rFonts w:hint="default" w:eastAsia="宋体"/>
                <w:b w:val="0"/>
                <w:bCs/>
                <w:sz w:val="18"/>
                <w:szCs w:val="18"/>
              </w:rPr>
              <w:t>应用实施</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专业群面向院校学生、企业职工、社会人员广泛开展职业技能等级认定，在全省的技能人才评价、专业建设与发展等方面具有引领示范作用。</w:t>
            </w:r>
          </w:p>
        </w:tc>
        <w:tc>
          <w:tcPr>
            <w:tcW w:w="770" w:type="dxa"/>
            <w:vAlign w:val="center"/>
          </w:tcPr>
          <w:p>
            <w:pPr>
              <w:widowControl/>
              <w:spacing w:line="240" w:lineRule="exact"/>
              <w:jc w:val="center"/>
              <w:textAlignment w:val="baseline"/>
              <w:rPr>
                <w:rFonts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0" w:hRule="atLeast"/>
          <w:jc w:val="center"/>
        </w:trPr>
        <w:tc>
          <w:tcPr>
            <w:tcW w:w="1312"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八、社会服务</w:t>
            </w: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8-1</w:t>
            </w:r>
          </w:p>
          <w:p>
            <w:pPr>
              <w:widowControl/>
              <w:spacing w:line="240" w:lineRule="exact"/>
              <w:jc w:val="center"/>
              <w:textAlignment w:val="baseline"/>
              <w:rPr>
                <w:rFonts w:hint="default" w:eastAsia="宋体"/>
                <w:b w:val="0"/>
                <w:bCs/>
                <w:sz w:val="18"/>
                <w:szCs w:val="18"/>
              </w:rPr>
            </w:pPr>
            <w:r>
              <w:rPr>
                <w:rFonts w:hint="default" w:eastAsia="宋体"/>
                <w:b w:val="0"/>
                <w:bCs/>
                <w:sz w:val="18"/>
                <w:szCs w:val="18"/>
              </w:rPr>
              <w:t>就业服务</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专业群建立毕业生就业跟踪制度，编制就业质量报告。</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0" w:hRule="atLeast"/>
          <w:jc w:val="center"/>
        </w:trPr>
        <w:tc>
          <w:tcPr>
            <w:tcW w:w="1312" w:type="dxa"/>
            <w:vMerge w:val="continue"/>
            <w:vAlign w:val="center"/>
          </w:tcPr>
          <w:p>
            <w:pPr>
              <w:widowControl/>
              <w:spacing w:line="240" w:lineRule="exact"/>
              <w:jc w:val="center"/>
              <w:textAlignment w:val="baseline"/>
              <w:rPr>
                <w:rFonts w:hint="default" w:eastAsia="宋体"/>
                <w:sz w:val="18"/>
                <w:szCs w:val="18"/>
                <w:highlight w:val="yellow"/>
              </w:rPr>
            </w:pPr>
          </w:p>
        </w:tc>
        <w:tc>
          <w:tcPr>
            <w:tcW w:w="915" w:type="dxa"/>
            <w:vMerge w:val="continue"/>
            <w:vAlign w:val="center"/>
          </w:tcPr>
          <w:p>
            <w:pPr>
              <w:widowControl/>
              <w:spacing w:line="240" w:lineRule="exact"/>
              <w:jc w:val="center"/>
              <w:textAlignment w:val="baseline"/>
              <w:rPr>
                <w:rFonts w:hint="default"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近三年专业群内学生当年就业率98%以上，用人单位、学生家长和学生满意度85%以上。</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8" w:hRule="atLeas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8-2</w:t>
            </w:r>
          </w:p>
          <w:p>
            <w:pPr>
              <w:widowControl/>
              <w:spacing w:line="240" w:lineRule="exact"/>
              <w:jc w:val="center"/>
              <w:textAlignment w:val="baseline"/>
              <w:rPr>
                <w:rFonts w:eastAsia="宋体"/>
                <w:b w:val="0"/>
                <w:bCs/>
                <w:sz w:val="18"/>
                <w:szCs w:val="18"/>
              </w:rPr>
            </w:pPr>
            <w:r>
              <w:rPr>
                <w:rFonts w:hint="default" w:eastAsia="宋体"/>
                <w:b w:val="0"/>
                <w:bCs/>
                <w:sz w:val="18"/>
                <w:szCs w:val="18"/>
              </w:rPr>
              <w:t>职业培训</w:t>
            </w: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专业群年开展职业技能培训规模不少于500人，其中高级工以上培训占50%以上。</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4" w:hRule="atLeast"/>
          <w:jc w:val="center"/>
        </w:trPr>
        <w:tc>
          <w:tcPr>
            <w:tcW w:w="1312" w:type="dxa"/>
            <w:vMerge w:val="continue"/>
            <w:vAlign w:val="top"/>
          </w:tcPr>
          <w:p>
            <w:pPr>
              <w:widowControl/>
              <w:spacing w:line="240" w:lineRule="exact"/>
              <w:jc w:val="center"/>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hint="default" w:eastAsia="宋体"/>
                <w:b w:val="0"/>
                <w:bCs/>
                <w:sz w:val="18"/>
                <w:szCs w:val="18"/>
              </w:rPr>
            </w:pPr>
          </w:p>
        </w:tc>
        <w:tc>
          <w:tcPr>
            <w:tcW w:w="5082" w:type="dxa"/>
            <w:vAlign w:val="center"/>
          </w:tcPr>
          <w:p>
            <w:pPr>
              <w:widowControl/>
              <w:spacing w:line="240" w:lineRule="exact"/>
              <w:textAlignment w:val="baseline"/>
              <w:rPr>
                <w:rFonts w:hint="default" w:eastAsia="宋体"/>
                <w:sz w:val="18"/>
                <w:szCs w:val="18"/>
              </w:rPr>
            </w:pPr>
            <w:r>
              <w:rPr>
                <w:rFonts w:hint="default" w:eastAsia="宋体"/>
                <w:sz w:val="18"/>
                <w:szCs w:val="18"/>
              </w:rPr>
              <w:t>专业群每年开展企业新型学徒制培训不少于100人次，并承担部省或兄弟院校委托的师资培训任务。</w:t>
            </w:r>
          </w:p>
        </w:tc>
        <w:tc>
          <w:tcPr>
            <w:tcW w:w="770" w:type="dxa"/>
            <w:vAlign w:val="center"/>
          </w:tcPr>
          <w:p>
            <w:pPr>
              <w:widowControl/>
              <w:spacing w:line="240" w:lineRule="exact"/>
              <w:jc w:val="center"/>
              <w:textAlignment w:val="baseline"/>
              <w:rPr>
                <w:rFonts w:hint="default" w:eastAsia="宋体"/>
                <w:sz w:val="18"/>
                <w:szCs w:val="18"/>
              </w:rPr>
            </w:pPr>
            <w:r>
              <w:rPr>
                <w:rFonts w:hint="default" w:eastAsia="宋体"/>
                <w:sz w:val="18"/>
                <w:szCs w:val="18"/>
              </w:rPr>
              <w:t>1</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66" w:hRule="atLeast"/>
          <w:jc w:val="center"/>
        </w:trPr>
        <w:tc>
          <w:tcPr>
            <w:tcW w:w="1312" w:type="dxa"/>
            <w:vMerge w:val="restart"/>
            <w:vAlign w:val="center"/>
          </w:tcPr>
          <w:p>
            <w:pPr>
              <w:widowControl/>
              <w:spacing w:line="240" w:lineRule="exact"/>
              <w:jc w:val="center"/>
              <w:textAlignment w:val="baseline"/>
              <w:rPr>
                <w:rFonts w:eastAsia="宋体"/>
                <w:sz w:val="18"/>
                <w:szCs w:val="18"/>
                <w:highlight w:val="yellow"/>
              </w:rPr>
            </w:pPr>
            <w:r>
              <w:rPr>
                <w:rFonts w:hint="default" w:eastAsia="宋体"/>
                <w:b w:val="0"/>
                <w:bCs/>
                <w:sz w:val="18"/>
                <w:szCs w:val="18"/>
              </w:rPr>
              <w:t>加分项</w:t>
            </w: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竞赛成绩</w:t>
            </w: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ascii="Times New Roman" w:hAnsi="Times New Roman" w:eastAsia="宋体" w:cs="Times New Roman"/>
                <w:sz w:val="18"/>
                <w:szCs w:val="18"/>
              </w:rPr>
              <w:t>近三年群内师生在世界技能大赛获得第一名每个10分，第二名每个8分，第三名每个7分，优胜奖每个6分；全国职业技能大赛第一名每个6分，第二名每个5分，第三名每个4分；全国行业职业技能竞赛一类赛第一名每个4分，第二名每个3分，第三名每个2分；江苏技能状元大赛第一名每个5分，第二名每个4分，第三名每个3分；省级一类职业技能竞赛第一名每个2分，第二名每个1分，第三名每个0.5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51" w:hRule="atLeast"/>
          <w:jc w:val="center"/>
        </w:trPr>
        <w:tc>
          <w:tcPr>
            <w:tcW w:w="1312" w:type="dxa"/>
            <w:vMerge w:val="continue"/>
            <w:vAlign w:val="top"/>
          </w:tcPr>
          <w:p>
            <w:pPr>
              <w:widowControl/>
              <w:spacing w:line="240" w:lineRule="exact"/>
              <w:textAlignment w:val="baseline"/>
              <w:rPr>
                <w:rFonts w:eastAsia="宋体"/>
                <w:sz w:val="18"/>
                <w:szCs w:val="18"/>
                <w:highlight w:val="yellow"/>
              </w:rPr>
            </w:pPr>
          </w:p>
        </w:tc>
        <w:tc>
          <w:tcPr>
            <w:tcW w:w="915" w:type="dxa"/>
            <w:vMerge w:val="continue"/>
            <w:vAlign w:val="center"/>
          </w:tcPr>
          <w:p>
            <w:pPr>
              <w:widowControl/>
              <w:spacing w:line="240" w:lineRule="exact"/>
              <w:jc w:val="center"/>
              <w:textAlignment w:val="baseline"/>
              <w:rPr>
                <w:rFonts w:hint="default" w:eastAsia="宋体"/>
                <w:b w:val="0"/>
                <w:bCs/>
                <w:sz w:val="18"/>
                <w:szCs w:val="18"/>
              </w:rPr>
            </w:pP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近三年群内教师获得全国技工院校教师职业能力大赛一等奖每个4分，二等奖每个2分，三等奖每个1分。学生获得全国技工院校学生创新创业大赛一等奖每个4分，二等奖每个2分，三等奖每个1分。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12" w:hRule="atLeast"/>
          <w:jc w:val="center"/>
        </w:trPr>
        <w:tc>
          <w:tcPr>
            <w:tcW w:w="1312" w:type="dxa"/>
            <w:vMerge w:val="continue"/>
            <w:vAlign w:val="top"/>
          </w:tcPr>
          <w:p>
            <w:pPr>
              <w:widowControl/>
              <w:spacing w:line="240" w:lineRule="exact"/>
              <w:jc w:val="center"/>
              <w:textAlignment w:val="baseline"/>
              <w:rPr>
                <w:rFonts w:hint="default" w:eastAsia="宋体"/>
                <w:sz w:val="18"/>
                <w:szCs w:val="18"/>
                <w:highlight w:val="yellow"/>
              </w:rPr>
            </w:pPr>
          </w:p>
        </w:tc>
        <w:tc>
          <w:tcPr>
            <w:tcW w:w="915" w:type="dxa"/>
            <w:vMerge w:val="restart"/>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重点任务</w:t>
            </w: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近三年群内专业牵头开发重点行业、新职业、新工种技能人才评价技术资源每项1分，参与开发每项0.5分；承担省厅安排的专业对口支援、对口帮扶任务每项2分，其他任务1-2分。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6" w:hRule="atLeast"/>
          <w:jc w:val="center"/>
        </w:trPr>
        <w:tc>
          <w:tcPr>
            <w:tcW w:w="1312" w:type="dxa"/>
            <w:vMerge w:val="continue"/>
            <w:vAlign w:val="top"/>
          </w:tcPr>
          <w:p>
            <w:pPr>
              <w:widowControl/>
              <w:spacing w:line="240" w:lineRule="exact"/>
              <w:jc w:val="center"/>
              <w:textAlignment w:val="baseline"/>
              <w:rPr>
                <w:rFonts w:hint="default" w:eastAsia="宋体"/>
                <w:sz w:val="18"/>
                <w:szCs w:val="18"/>
                <w:highlight w:val="yellow"/>
              </w:rPr>
            </w:pPr>
          </w:p>
        </w:tc>
        <w:tc>
          <w:tcPr>
            <w:tcW w:w="915" w:type="dxa"/>
            <w:vMerge w:val="continue"/>
            <w:vAlign w:val="center"/>
          </w:tcPr>
          <w:p>
            <w:pPr>
              <w:widowControl/>
              <w:spacing w:line="240" w:lineRule="exact"/>
              <w:jc w:val="center"/>
              <w:textAlignment w:val="baseline"/>
              <w:rPr>
                <w:rFonts w:hint="default" w:eastAsia="宋体"/>
                <w:b w:val="0"/>
                <w:bCs/>
                <w:sz w:val="18"/>
                <w:szCs w:val="18"/>
              </w:rPr>
            </w:pP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近三年群内专业与行业企业合作开展技术革新和技术攻关并产生一定的经济社会效益，每项1分。满分3分。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6" w:hRule="atLeast"/>
          <w:jc w:val="center"/>
        </w:trPr>
        <w:tc>
          <w:tcPr>
            <w:tcW w:w="1312" w:type="dxa"/>
            <w:vMerge w:val="continue"/>
            <w:vAlign w:val="top"/>
          </w:tcPr>
          <w:p>
            <w:pPr>
              <w:widowControl/>
              <w:spacing w:line="240" w:lineRule="exact"/>
              <w:jc w:val="center"/>
              <w:textAlignment w:val="baseline"/>
              <w:rPr>
                <w:rFonts w:hint="default" w:eastAsia="宋体"/>
                <w:sz w:val="18"/>
                <w:szCs w:val="18"/>
                <w:highlight w:val="yellow"/>
              </w:rPr>
            </w:pPr>
          </w:p>
        </w:tc>
        <w:tc>
          <w:tcPr>
            <w:tcW w:w="915" w:type="dxa"/>
            <w:vMerge w:val="continue"/>
            <w:vAlign w:val="center"/>
          </w:tcPr>
          <w:p>
            <w:pPr>
              <w:widowControl/>
              <w:spacing w:line="240" w:lineRule="exact"/>
              <w:jc w:val="center"/>
              <w:textAlignment w:val="baseline"/>
              <w:rPr>
                <w:rFonts w:hint="default" w:eastAsia="宋体"/>
                <w:b w:val="0"/>
                <w:bCs/>
                <w:sz w:val="18"/>
                <w:szCs w:val="18"/>
              </w:rPr>
            </w:pP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主编并出版群内专业国家级（技工教育）教材每本2分，参编并出版群内专业国家级（技工教育）教材每本1分；主编并出版群内专业省级（技工教育）教材每本1分，参编并出版群内专业省级（技工教育）教材每本</w:t>
            </w:r>
            <w:r>
              <w:rPr>
                <w:rFonts w:eastAsia="宋体"/>
                <w:sz w:val="18"/>
                <w:szCs w:val="18"/>
              </w:rPr>
              <w:t>0.5</w:t>
            </w:r>
            <w:r>
              <w:rPr>
                <w:rFonts w:hint="default" w:eastAsia="宋体"/>
                <w:sz w:val="18"/>
                <w:szCs w:val="18"/>
              </w:rPr>
              <w:t>分。满分6分。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1" w:hRule="atLeast"/>
          <w:jc w:val="center"/>
        </w:trPr>
        <w:tc>
          <w:tcPr>
            <w:tcW w:w="1312" w:type="dxa"/>
            <w:vMerge w:val="continue"/>
            <w:vAlign w:val="top"/>
          </w:tcPr>
          <w:p>
            <w:pPr>
              <w:widowControl/>
              <w:spacing w:line="240" w:lineRule="exact"/>
              <w:jc w:val="center"/>
              <w:textAlignment w:val="baseline"/>
              <w:rPr>
                <w:rFonts w:hint="default" w:eastAsia="宋体"/>
                <w:sz w:val="18"/>
                <w:szCs w:val="18"/>
                <w:highlight w:val="yellow"/>
              </w:rPr>
            </w:pPr>
          </w:p>
        </w:tc>
        <w:tc>
          <w:tcPr>
            <w:tcW w:w="915" w:type="dxa"/>
            <w:vMerge w:val="continue"/>
            <w:vAlign w:val="center"/>
          </w:tcPr>
          <w:p>
            <w:pPr>
              <w:widowControl/>
              <w:spacing w:line="240" w:lineRule="exact"/>
              <w:jc w:val="center"/>
              <w:textAlignment w:val="baseline"/>
              <w:rPr>
                <w:rFonts w:hint="default" w:eastAsia="宋体"/>
                <w:b w:val="0"/>
                <w:bCs/>
                <w:sz w:val="18"/>
                <w:szCs w:val="18"/>
              </w:rPr>
            </w:pP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近三年群内专业教学成果获国家级（技工教育）一等奖每个3分，国家级（技工教育）二等奖每个2分，省级（技工教育）一等奖每个2分，省级（技工教育）二等奖每个1分。满分6分。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62" w:hRule="atLeast"/>
          <w:jc w:val="center"/>
        </w:trPr>
        <w:tc>
          <w:tcPr>
            <w:tcW w:w="1312" w:type="dxa"/>
            <w:vMerge w:val="continue"/>
            <w:vAlign w:val="top"/>
          </w:tcPr>
          <w:p>
            <w:pPr>
              <w:widowControl/>
              <w:spacing w:line="240" w:lineRule="exact"/>
              <w:jc w:val="center"/>
              <w:textAlignment w:val="baseline"/>
              <w:rPr>
                <w:rFonts w:hint="default" w:eastAsia="宋体"/>
                <w:sz w:val="18"/>
                <w:szCs w:val="18"/>
                <w:highlight w:val="yellow"/>
              </w:rPr>
            </w:pPr>
          </w:p>
        </w:tc>
        <w:tc>
          <w:tcPr>
            <w:tcW w:w="915" w:type="dxa"/>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人才培养</w:t>
            </w: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群内师生获得中华技能大奖每个10分，全国技术能手、国务院政府特殊津贴、国家级技能大师工作室领办人每个8分；江苏大工匠每个8分，江苏工匠、江苏省有突出贡献中青年专家、省“333”工程培养对象、省级技能大师工作室领办人每个5分。竞赛获奖不重复计算。</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33" w:hRule="atLeast"/>
          <w:jc w:val="center"/>
        </w:trPr>
        <w:tc>
          <w:tcPr>
            <w:tcW w:w="2227" w:type="dxa"/>
            <w:gridSpan w:val="2"/>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扣分项</w:t>
            </w: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群内专业未认真完成省厅下达的培训、评价、竞赛等工作目标任务的每项扣3分；群内专业被有关媒体曝光的每次扣3分。</w:t>
            </w:r>
          </w:p>
        </w:tc>
        <w:tc>
          <w:tcPr>
            <w:tcW w:w="779" w:type="dxa"/>
            <w:vAlign w:val="center"/>
          </w:tcPr>
          <w:p>
            <w:pPr>
              <w:widowControl/>
              <w:spacing w:line="240" w:lineRule="exact"/>
              <w:jc w:val="center"/>
              <w:textAlignment w:val="baseline"/>
              <w:rPr>
                <w:rFonts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28" w:hRule="atLeast"/>
          <w:jc w:val="center"/>
        </w:trPr>
        <w:tc>
          <w:tcPr>
            <w:tcW w:w="2227" w:type="dxa"/>
            <w:gridSpan w:val="2"/>
            <w:vAlign w:val="center"/>
          </w:tcPr>
          <w:p>
            <w:pPr>
              <w:widowControl/>
              <w:spacing w:line="240" w:lineRule="exact"/>
              <w:jc w:val="center"/>
              <w:textAlignment w:val="baseline"/>
              <w:rPr>
                <w:rFonts w:hint="default" w:eastAsia="宋体"/>
                <w:b w:val="0"/>
                <w:bCs/>
                <w:sz w:val="18"/>
                <w:szCs w:val="18"/>
              </w:rPr>
            </w:pPr>
            <w:r>
              <w:rPr>
                <w:rFonts w:hint="default" w:eastAsia="宋体"/>
                <w:b w:val="0"/>
                <w:bCs/>
                <w:sz w:val="18"/>
                <w:szCs w:val="18"/>
              </w:rPr>
              <w:t>一票否决项</w:t>
            </w:r>
          </w:p>
        </w:tc>
        <w:tc>
          <w:tcPr>
            <w:tcW w:w="5852" w:type="dxa"/>
            <w:gridSpan w:val="2"/>
            <w:vAlign w:val="center"/>
          </w:tcPr>
          <w:p>
            <w:pPr>
              <w:widowControl/>
              <w:spacing w:line="240" w:lineRule="exact"/>
              <w:jc w:val="left"/>
              <w:textAlignment w:val="baseline"/>
              <w:rPr>
                <w:rFonts w:hint="default" w:eastAsia="宋体"/>
                <w:sz w:val="18"/>
                <w:szCs w:val="18"/>
              </w:rPr>
            </w:pPr>
            <w:r>
              <w:rPr>
                <w:rFonts w:hint="default" w:eastAsia="宋体"/>
                <w:sz w:val="18"/>
                <w:szCs w:val="18"/>
              </w:rPr>
              <w:t>近三年有以下情况的一票否决：群内专业在教学管理、实习管理等方面存在严重安全隐患或发生重大安全事故、治安事件、舆情事件；其他严重违反办学规定，造成恶劣社会影响的情况。</w:t>
            </w:r>
          </w:p>
        </w:tc>
        <w:tc>
          <w:tcPr>
            <w:tcW w:w="779" w:type="dxa"/>
            <w:vAlign w:val="center"/>
          </w:tcPr>
          <w:p>
            <w:pPr>
              <w:widowControl/>
              <w:spacing w:line="240" w:lineRule="exact"/>
              <w:jc w:val="center"/>
              <w:textAlignment w:val="baseline"/>
              <w:rPr>
                <w:rFonts w:eastAsia="宋体"/>
                <w:sz w:val="18"/>
                <w:szCs w:val="18"/>
              </w:rPr>
            </w:pPr>
          </w:p>
        </w:tc>
      </w:tr>
    </w:tbl>
    <w:p>
      <w:pPr>
        <w:widowControl/>
        <w:spacing w:line="590" w:lineRule="exact"/>
        <w:rPr>
          <w:rFonts w:hint="default" w:eastAsia="方正黑体_GBK"/>
          <w:szCs w:val="48"/>
        </w:rPr>
      </w:pPr>
    </w:p>
    <w:p>
      <w:pPr>
        <w:widowControl/>
        <w:spacing w:line="590" w:lineRule="exact"/>
        <w:rPr>
          <w:rFonts w:hint="default" w:eastAsia="方正黑体_GBK"/>
          <w:szCs w:val="48"/>
        </w:rPr>
      </w:pPr>
    </w:p>
    <w:p>
      <w:pPr>
        <w:widowControl/>
        <w:spacing w:line="590" w:lineRule="exact"/>
        <w:rPr>
          <w:rFonts w:hint="default" w:eastAsia="方正黑体_GBK"/>
          <w:szCs w:val="4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A071"/>
    <w:multiLevelType w:val="singleLevel"/>
    <w:tmpl w:val="0754A0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4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2021-07-23T03:04:08Z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