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Theme="minorEastAsia" w:hAnsiTheme="minorEastAsia"/>
          <w:color w:val="333333"/>
          <w:sz w:val="28"/>
          <w:szCs w:val="28"/>
        </w:rPr>
      </w:pPr>
      <w:r>
        <w:rPr>
          <w:rFonts w:hint="eastAsia" w:asciiTheme="minorEastAsia" w:hAnsiTheme="minorEastAsia"/>
          <w:color w:val="333333"/>
          <w:sz w:val="28"/>
          <w:szCs w:val="28"/>
        </w:rPr>
        <w:t>附件：</w:t>
      </w:r>
      <w:r>
        <w:rPr>
          <w:rFonts w:asciiTheme="minorEastAsia" w:hAnsiTheme="minorEastAsia"/>
          <w:color w:val="333333"/>
          <w:sz w:val="28"/>
          <w:szCs w:val="28"/>
        </w:rPr>
        <w:t>202</w:t>
      </w:r>
      <w:r>
        <w:rPr>
          <w:rFonts w:hint="eastAsia" w:asciiTheme="minorEastAsia" w:hAnsiTheme="minorEastAsia"/>
          <w:color w:val="333333"/>
          <w:sz w:val="28"/>
          <w:szCs w:val="28"/>
        </w:rPr>
        <w:t>1年度苏州市医疗器械与新医药（临床试验）拟立项项目清单</w:t>
      </w:r>
    </w:p>
    <w:p>
      <w:pPr>
        <w:adjustRightInd w:val="0"/>
        <w:rPr>
          <w:rFonts w:ascii="宋体" w:hAnsi="宋体" w:eastAsia="宋体" w:cs="宋体"/>
          <w:b/>
          <w:bCs/>
          <w:color w:val="000000"/>
          <w:kern w:val="0"/>
          <w:sz w:val="22"/>
        </w:rPr>
      </w:pPr>
      <w:r>
        <w:rPr>
          <w:rFonts w:hint="eastAsia" w:ascii="宋体" w:hAnsi="宋体" w:eastAsia="宋体" w:cs="宋体"/>
          <w:b/>
          <w:bCs/>
          <w:color w:val="000000"/>
          <w:kern w:val="0"/>
          <w:sz w:val="22"/>
        </w:rPr>
        <w:t>一、临床能力建设提升</w:t>
      </w:r>
    </w:p>
    <w:tbl>
      <w:tblPr>
        <w:tblStyle w:val="3"/>
        <w:tblW w:w="8520" w:type="dxa"/>
        <w:tblInd w:w="93" w:type="dxa"/>
        <w:tblLayout w:type="autofit"/>
        <w:tblCellMar>
          <w:top w:w="0" w:type="dxa"/>
          <w:left w:w="108" w:type="dxa"/>
          <w:bottom w:w="0" w:type="dxa"/>
          <w:right w:w="108" w:type="dxa"/>
        </w:tblCellMar>
      </w:tblPr>
      <w:tblGrid>
        <w:gridCol w:w="724"/>
        <w:gridCol w:w="2268"/>
        <w:gridCol w:w="5528"/>
      </w:tblGrid>
      <w:tr>
        <w:tblPrEx>
          <w:tblCellMar>
            <w:top w:w="0" w:type="dxa"/>
            <w:left w:w="108" w:type="dxa"/>
            <w:bottom w:w="0" w:type="dxa"/>
            <w:right w:w="108" w:type="dxa"/>
          </w:tblCellMar>
        </w:tblPrEx>
        <w:trPr>
          <w:trHeight w:val="454" w:hRule="exact"/>
        </w:trPr>
        <w:tc>
          <w:tcPr>
            <w:tcW w:w="724" w:type="dxa"/>
            <w:tcBorders>
              <w:top w:val="single" w:color="auto" w:sz="8" w:space="0"/>
              <w:left w:val="single" w:color="auto" w:sz="8"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268" w:type="dxa"/>
            <w:tcBorders>
              <w:top w:val="single" w:color="auto" w:sz="8" w:space="0"/>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医疗机构名称</w:t>
            </w:r>
          </w:p>
        </w:tc>
        <w:tc>
          <w:tcPr>
            <w:tcW w:w="5528" w:type="dxa"/>
            <w:tcBorders>
              <w:top w:val="single" w:color="auto" w:sz="8" w:space="0"/>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苏州九龙医院</w:t>
            </w:r>
          </w:p>
        </w:tc>
        <w:tc>
          <w:tcPr>
            <w:tcW w:w="55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hint="eastAsia" w:cs="Courier New"/>
                <w:sz w:val="20"/>
                <w:szCs w:val="20"/>
              </w:rPr>
              <w:t>苏州九龙医院</w:t>
            </w:r>
            <w:r>
              <w:rPr>
                <w:rFonts w:ascii="Courier New" w:hAnsi="Courier New" w:cs="Courier New"/>
                <w:sz w:val="20"/>
                <w:szCs w:val="20"/>
              </w:rPr>
              <w:t>I</w:t>
            </w:r>
            <w:r>
              <w:rPr>
                <w:rFonts w:hint="eastAsia" w:cs="Courier New"/>
                <w:sz w:val="20"/>
                <w:szCs w:val="20"/>
              </w:rPr>
              <w:t>期临床试验中心临床试验机构能力提升</w:t>
            </w:r>
          </w:p>
        </w:tc>
      </w:tr>
      <w:tr>
        <w:tblPrEx>
          <w:tblCellMar>
            <w:top w:w="0" w:type="dxa"/>
            <w:left w:w="108" w:type="dxa"/>
            <w:bottom w:w="0" w:type="dxa"/>
            <w:right w:w="108" w:type="dxa"/>
          </w:tblCellMar>
        </w:tblPrEx>
        <w:trPr>
          <w:trHeight w:val="454"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w:t>
            </w:r>
          </w:p>
        </w:tc>
        <w:tc>
          <w:tcPr>
            <w:tcW w:w="552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苏州科技城医院I期临床试验研究室临床试验机构能力提升</w:t>
            </w:r>
          </w:p>
        </w:tc>
      </w:tr>
      <w:tr>
        <w:tblPrEx>
          <w:tblCellMar>
            <w:top w:w="0" w:type="dxa"/>
            <w:left w:w="108" w:type="dxa"/>
            <w:bottom w:w="0" w:type="dxa"/>
            <w:right w:w="108" w:type="dxa"/>
          </w:tblCellMar>
        </w:tblPrEx>
        <w:trPr>
          <w:trHeight w:val="454"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c>
          <w:tcPr>
            <w:tcW w:w="552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苏州大学附属儿童医院小儿血液肿瘤专业临床试验机构能力提升</w:t>
            </w:r>
          </w:p>
        </w:tc>
      </w:tr>
      <w:tr>
        <w:tblPrEx>
          <w:tblCellMar>
            <w:top w:w="0" w:type="dxa"/>
            <w:left w:w="108" w:type="dxa"/>
            <w:bottom w:w="0" w:type="dxa"/>
            <w:right w:w="108" w:type="dxa"/>
          </w:tblCellMar>
        </w:tblPrEx>
        <w:trPr>
          <w:trHeight w:val="580"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c>
          <w:tcPr>
            <w:tcW w:w="552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苏州大学附属儿童医院小儿耳鼻咽喉科专业临床试验机构能力提升</w:t>
            </w:r>
          </w:p>
        </w:tc>
      </w:tr>
      <w:tr>
        <w:tblPrEx>
          <w:tblCellMar>
            <w:top w:w="0" w:type="dxa"/>
            <w:left w:w="108" w:type="dxa"/>
            <w:bottom w:w="0" w:type="dxa"/>
            <w:right w:w="108" w:type="dxa"/>
          </w:tblCellMar>
        </w:tblPrEx>
        <w:trPr>
          <w:trHeight w:val="454"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w:t>
            </w:r>
          </w:p>
        </w:tc>
        <w:tc>
          <w:tcPr>
            <w:tcW w:w="552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昆山市第一人民医院心血管内科临床试验机构能力提升</w:t>
            </w:r>
          </w:p>
        </w:tc>
      </w:tr>
      <w:tr>
        <w:tblPrEx>
          <w:tblCellMar>
            <w:top w:w="0" w:type="dxa"/>
            <w:left w:w="108" w:type="dxa"/>
            <w:bottom w:w="0" w:type="dxa"/>
            <w:right w:w="108" w:type="dxa"/>
          </w:tblCellMar>
        </w:tblPrEx>
        <w:trPr>
          <w:trHeight w:val="454"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昆山市第一人民医院</w:t>
            </w:r>
          </w:p>
        </w:tc>
        <w:tc>
          <w:tcPr>
            <w:tcW w:w="552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昆山市第一人民医院内分泌科临床试验机构能力提升</w:t>
            </w:r>
          </w:p>
        </w:tc>
      </w:tr>
      <w:tr>
        <w:tblPrEx>
          <w:tblCellMar>
            <w:top w:w="0" w:type="dxa"/>
            <w:left w:w="108" w:type="dxa"/>
            <w:bottom w:w="0" w:type="dxa"/>
            <w:right w:w="108" w:type="dxa"/>
          </w:tblCellMar>
        </w:tblPrEx>
        <w:trPr>
          <w:trHeight w:val="658"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w:t>
            </w:r>
          </w:p>
        </w:tc>
        <w:tc>
          <w:tcPr>
            <w:tcW w:w="5528" w:type="dxa"/>
            <w:tcBorders>
              <w:top w:val="nil"/>
              <w:left w:val="nil"/>
              <w:bottom w:val="single" w:color="000000" w:sz="4" w:space="0"/>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昆山市第一人民医院神经内科临床试验机构能力提升</w:t>
            </w:r>
          </w:p>
        </w:tc>
      </w:tr>
      <w:tr>
        <w:tblPrEx>
          <w:tblCellMar>
            <w:top w:w="0" w:type="dxa"/>
            <w:left w:w="108" w:type="dxa"/>
            <w:bottom w:w="0" w:type="dxa"/>
            <w:right w:w="108" w:type="dxa"/>
          </w:tblCellMar>
        </w:tblPrEx>
        <w:trPr>
          <w:trHeight w:val="454" w:hRule="exact"/>
        </w:trPr>
        <w:tc>
          <w:tcPr>
            <w:tcW w:w="724"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tcBorders>
              <w:top w:val="nil"/>
              <w:left w:val="nil"/>
              <w:bottom w:val="nil"/>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w:t>
            </w:r>
          </w:p>
        </w:tc>
        <w:tc>
          <w:tcPr>
            <w:tcW w:w="5528" w:type="dxa"/>
            <w:tcBorders>
              <w:top w:val="nil"/>
              <w:left w:val="nil"/>
              <w:bottom w:val="nil"/>
              <w:right w:val="single" w:color="000000"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昆山市第一人民医院检验科临床试验机构能力提升</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c>
          <w:tcPr>
            <w:tcW w:w="552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苏州市第五人民医院结核病专业组临床试验机构能力提升</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苏州市第五人民医院</w:t>
            </w:r>
          </w:p>
        </w:tc>
        <w:tc>
          <w:tcPr>
            <w:tcW w:w="552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r>
              <w:rPr>
                <w:rFonts w:hint="eastAsia" w:ascii="宋体" w:hAnsi="宋体" w:eastAsia="宋体" w:cs="宋体"/>
                <w:sz w:val="20"/>
                <w:szCs w:val="20"/>
              </w:rPr>
              <w:t>Ⅰ</w:t>
            </w:r>
            <w:r>
              <w:rPr>
                <w:rFonts w:ascii="Courier New" w:hAnsi="Courier New" w:cs="Courier New"/>
                <w:sz w:val="20"/>
                <w:szCs w:val="20"/>
              </w:rPr>
              <w:t>期临床试验研究室临床试验机构能力提升</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c>
          <w:tcPr>
            <w:tcW w:w="552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苏州市第五人民医院肝炎专业组临床试验机构能力提升</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c>
          <w:tcPr>
            <w:tcW w:w="552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苏州市第五人民医院医学检验临床试验机构能力提升</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苏州市广济医院</w:t>
            </w:r>
          </w:p>
        </w:tc>
        <w:tc>
          <w:tcPr>
            <w:tcW w:w="552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苏州市广济医院临床检验科临床试验机构能力提升</w:t>
            </w:r>
          </w:p>
        </w:tc>
      </w:tr>
      <w:tr>
        <w:tblPrEx>
          <w:tblCellMar>
            <w:top w:w="0" w:type="dxa"/>
            <w:left w:w="108" w:type="dxa"/>
            <w:bottom w:w="0" w:type="dxa"/>
            <w:right w:w="108" w:type="dxa"/>
          </w:tblCellMar>
        </w:tblPrEx>
        <w:trPr>
          <w:trHeight w:val="454" w:hRule="exac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w:t>
            </w:r>
          </w:p>
        </w:tc>
        <w:tc>
          <w:tcPr>
            <w:tcW w:w="5528"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苏州市广济医院精神卫生专业临床试验机构能力提升</w:t>
            </w:r>
          </w:p>
        </w:tc>
      </w:tr>
    </w:tbl>
    <w:p>
      <w:pPr>
        <w:adjustRightInd w:val="0"/>
        <w:rPr>
          <w:rFonts w:ascii="宋体" w:hAnsi="宋体" w:eastAsia="宋体" w:cs="宋体"/>
          <w:b/>
          <w:bCs/>
          <w:color w:val="000000"/>
          <w:kern w:val="0"/>
          <w:sz w:val="22"/>
        </w:rPr>
      </w:pPr>
      <w:r>
        <w:rPr>
          <w:rFonts w:hint="eastAsia" w:ascii="宋体" w:hAnsi="宋体" w:eastAsia="宋体" w:cs="宋体"/>
          <w:b/>
          <w:bCs/>
          <w:color w:val="000000"/>
          <w:kern w:val="0"/>
          <w:sz w:val="22"/>
        </w:rPr>
        <w:t>二、临床能力建设中期评估</w:t>
      </w:r>
    </w:p>
    <w:tbl>
      <w:tblPr>
        <w:tblStyle w:val="3"/>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581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4"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5812"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984"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4" w:type="dxa"/>
            <w:shd w:val="clear" w:color="auto" w:fill="auto"/>
            <w:noWrap/>
            <w:vAlign w:val="center"/>
          </w:tcPr>
          <w:p>
            <w:pPr>
              <w:widowControl/>
              <w:jc w:val="center"/>
              <w:rPr>
                <w:rFonts w:ascii="Courier New" w:hAnsi="Courier New" w:cs="Courier New"/>
                <w:sz w:val="20"/>
                <w:szCs w:val="20"/>
              </w:rPr>
            </w:pPr>
            <w:r>
              <w:rPr>
                <w:rFonts w:ascii="Courier New" w:hAnsi="Courier New" w:cs="Courier New"/>
                <w:sz w:val="20"/>
                <w:szCs w:val="20"/>
              </w:rPr>
              <w:t>1</w:t>
            </w:r>
          </w:p>
        </w:tc>
        <w:tc>
          <w:tcPr>
            <w:tcW w:w="5812" w:type="dxa"/>
            <w:shd w:val="clear" w:color="auto" w:fill="auto"/>
            <w:noWrap/>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r>
              <w:rPr>
                <w:rFonts w:hint="eastAsia" w:ascii="Courier New" w:hAnsi="Courier New" w:cs="Courier New"/>
                <w:sz w:val="20"/>
                <w:szCs w:val="20"/>
              </w:rPr>
              <w:t>内分泌科临床试验机构能力提升中期评估</w:t>
            </w:r>
          </w:p>
        </w:tc>
        <w:tc>
          <w:tcPr>
            <w:tcW w:w="1984" w:type="dxa"/>
            <w:shd w:val="clear" w:color="auto" w:fill="auto"/>
            <w:noWrap/>
            <w:vAlign w:val="center"/>
          </w:tcPr>
          <w:p>
            <w:pPr>
              <w:jc w:val="center"/>
              <w:rPr>
                <w:rFonts w:ascii="Courier New" w:hAnsi="Courier New" w:cs="Courier New"/>
                <w:sz w:val="20"/>
                <w:szCs w:val="20"/>
              </w:rPr>
            </w:pPr>
            <w:r>
              <w:rPr>
                <w:rFonts w:ascii="Courier New" w:hAnsi="Courier New" w:cs="Courier New"/>
                <w:sz w:val="20"/>
                <w:szCs w:val="20"/>
              </w:rPr>
              <w:t>苏州大学附属第一医院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4" w:type="dxa"/>
            <w:shd w:val="clear" w:color="auto" w:fill="auto"/>
            <w:noWrap/>
            <w:vAlign w:val="center"/>
          </w:tcPr>
          <w:p>
            <w:pPr>
              <w:widowControl/>
              <w:jc w:val="center"/>
              <w:rPr>
                <w:rFonts w:ascii="Courier New" w:hAnsi="Courier New" w:cs="Courier New"/>
                <w:sz w:val="20"/>
                <w:szCs w:val="20"/>
              </w:rPr>
            </w:pPr>
            <w:r>
              <w:rPr>
                <w:rFonts w:ascii="Courier New" w:hAnsi="Courier New" w:cs="Courier New"/>
                <w:sz w:val="20"/>
                <w:szCs w:val="20"/>
              </w:rPr>
              <w:t>2</w:t>
            </w:r>
          </w:p>
        </w:tc>
        <w:tc>
          <w:tcPr>
            <w:tcW w:w="5812" w:type="dxa"/>
            <w:shd w:val="clear" w:color="auto" w:fill="auto"/>
            <w:noWrap/>
            <w:vAlign w:val="center"/>
          </w:tcPr>
          <w:p>
            <w:pPr>
              <w:jc w:val="center"/>
              <w:rPr>
                <w:rFonts w:ascii="Courier New" w:hAnsi="Courier New" w:cs="Courier New"/>
                <w:sz w:val="20"/>
                <w:szCs w:val="20"/>
              </w:rPr>
            </w:pPr>
            <w:r>
              <w:rPr>
                <w:rFonts w:hint="eastAsia" w:ascii="Courier New" w:hAnsi="Courier New" w:cs="Courier New"/>
                <w:sz w:val="20"/>
                <w:szCs w:val="20"/>
              </w:rPr>
              <w:t>苏州科技城医院内分泌专业临床试验机构能力提升中期评估</w:t>
            </w:r>
          </w:p>
        </w:tc>
        <w:tc>
          <w:tcPr>
            <w:tcW w:w="1984" w:type="dxa"/>
            <w:shd w:val="clear" w:color="auto" w:fill="auto"/>
            <w:noWrap/>
            <w:vAlign w:val="center"/>
          </w:tcPr>
          <w:p>
            <w:pPr>
              <w:jc w:val="center"/>
              <w:rPr>
                <w:rFonts w:ascii="Courier New" w:hAnsi="Courier New" w:cs="Courier New"/>
                <w:sz w:val="20"/>
                <w:szCs w:val="20"/>
              </w:rPr>
            </w:pPr>
            <w:r>
              <w:rPr>
                <w:rFonts w:hint="eastAsia" w:ascii="Courier New" w:hAnsi="Courier New" w:cs="Courier New"/>
                <w:sz w:val="20"/>
                <w:szCs w:val="20"/>
              </w:rPr>
              <w:t>苏州科技城医院</w:t>
            </w:r>
          </w:p>
        </w:tc>
      </w:tr>
    </w:tbl>
    <w:p>
      <w:pPr>
        <w:adjustRightInd w:val="0"/>
        <w:rPr>
          <w:rFonts w:ascii="宋体" w:hAnsi="宋体" w:eastAsia="宋体" w:cs="宋体"/>
          <w:b/>
          <w:bCs/>
          <w:color w:val="000000"/>
          <w:kern w:val="0"/>
          <w:sz w:val="22"/>
        </w:rPr>
      </w:pPr>
      <w:r>
        <w:rPr>
          <w:rFonts w:hint="eastAsia" w:ascii="宋体" w:hAnsi="宋体" w:eastAsia="宋体" w:cs="宋体"/>
          <w:b/>
          <w:bCs/>
          <w:color w:val="000000"/>
          <w:kern w:val="0"/>
          <w:sz w:val="22"/>
        </w:rPr>
        <w:t>三、医工结合项目</w:t>
      </w:r>
    </w:p>
    <w:tbl>
      <w:tblPr>
        <w:tblStyle w:val="3"/>
        <w:tblW w:w="852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5432"/>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序号</w:t>
            </w:r>
          </w:p>
        </w:tc>
        <w:tc>
          <w:tcPr>
            <w:tcW w:w="5432" w:type="dxa"/>
            <w:shd w:val="clear" w:color="auto" w:fill="auto"/>
            <w:vAlign w:val="center"/>
          </w:tcPr>
          <w:p>
            <w:pPr>
              <w:widowControl/>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项目名称</w:t>
            </w:r>
          </w:p>
        </w:tc>
        <w:tc>
          <w:tcPr>
            <w:tcW w:w="2268" w:type="dxa"/>
            <w:shd w:val="clear" w:color="auto" w:fill="auto"/>
            <w:vAlign w:val="center"/>
          </w:tcPr>
          <w:p>
            <w:pPr>
              <w:widowControl/>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抗Claudin18.2单克隆抗体（IBI360）新药开发及临床前研究</w:t>
            </w:r>
          </w:p>
        </w:tc>
        <w:tc>
          <w:tcPr>
            <w:tcW w:w="2268" w:type="dxa"/>
            <w:shd w:val="clear" w:color="auto" w:fill="auto"/>
            <w:vAlign w:val="center"/>
          </w:tcPr>
          <w:p>
            <w:pPr>
              <w:jc w:val="center"/>
              <w:rPr>
                <w:rFonts w:ascii="宋体" w:hAnsi="宋体" w:eastAsia="宋体" w:cs="宋体"/>
                <w:sz w:val="20"/>
                <w:szCs w:val="20"/>
              </w:rPr>
            </w:pPr>
            <w:r>
              <w:rPr>
                <w:rFonts w:hint="eastAsia"/>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依达拉奉口服制剂（TTYP01片）治疗帕金森病的临床前研究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IBI321药物活性评价及实体瘤临床前疗效探索</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 xml:space="preserve">放疗剂量分割影响结肠癌放疗联合PD1免疫治疗疗效的临床前实验研究 </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针对尿道粘膜损伤修复可降解注射凝胶的制备与临床前研究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高灵敏快速定量术前八项传染病诊断试剂的临床前研究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新型柔性关节镜的研制与临床前研究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新型国产机械性抽吸系统治疗急性下肢深静脉血栓的临床前研究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新型BCL-2抑制剂APG-2575单药或联合SoC在高危MM中的临床前研究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放疗联合双特异性抗体IBI322（CD47/PD-L1）治疗局部晚期食管癌的临床前研究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11</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单次用脊柱电子内窥镜的研制与临床前研究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一种新型硅基微针负压装置的研发及临床前应用研究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国产取栓支架优化及临床前研究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14</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伊立替康及代谢物检测试剂盒的开发与临床研究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PD-1和TGF-β双靶点药物SHR-1701治疗结直肠癌的临床前研究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16</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疫情常态化下的孕期智能可穿戴设备多体征云检测系统的临床前研究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17</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肝素化复合编织金属支架治疗静脉狭窄的临床前研究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重组抗白介素23p19亚基抗体注射液（IBI112）在狼疮鼠和系统性红斑狼疮患者外周血的临床前研究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基于自动取穴的智能艾灸机器人系统临床前研究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苏州市中医医院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咽鼓管球囊扩张导管系统的临床前研究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苏州大学附属儿童医院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0" w:type="dxa"/>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21</w:t>
            </w:r>
          </w:p>
        </w:tc>
        <w:tc>
          <w:tcPr>
            <w:tcW w:w="5432" w:type="dxa"/>
            <w:shd w:val="clear" w:color="auto" w:fill="auto"/>
            <w:vAlign w:val="center"/>
          </w:tcPr>
          <w:p>
            <w:pPr>
              <w:rPr>
                <w:rFonts w:ascii="Courier New" w:hAnsi="Courier New" w:eastAsia="宋体" w:cs="Courier New"/>
                <w:sz w:val="20"/>
                <w:szCs w:val="20"/>
              </w:rPr>
            </w:pPr>
            <w:r>
              <w:rPr>
                <w:rFonts w:ascii="Courier New" w:hAnsi="Courier New" w:cs="Courier New"/>
                <w:sz w:val="20"/>
                <w:szCs w:val="20"/>
              </w:rPr>
              <w:t>保膝截骨手术3D打印定位导板系统开发与临床前研究</w:t>
            </w:r>
          </w:p>
        </w:tc>
        <w:tc>
          <w:tcPr>
            <w:tcW w:w="226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苏州市立医院</w:t>
            </w:r>
          </w:p>
        </w:tc>
      </w:tr>
    </w:tbl>
    <w:p>
      <w:pPr>
        <w:adjustRightInd w:val="0"/>
        <w:rPr>
          <w:rFonts w:ascii="宋体" w:hAnsi="宋体" w:eastAsia="宋体" w:cs="宋体"/>
          <w:b/>
          <w:bCs/>
          <w:color w:val="000000"/>
          <w:kern w:val="0"/>
          <w:sz w:val="2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14707"/>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92258"/>
    <w:rsid w:val="57EC3049"/>
    <w:rsid w:val="6B49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autoSpaceDE w:val="0"/>
      <w:autoSpaceDN w:val="0"/>
      <w:snapToGrid w:val="0"/>
      <w:spacing w:line="240" w:lineRule="atLeast"/>
      <w:ind w:firstLine="624"/>
      <w:jc w:val="left"/>
    </w:pPr>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2021-05-31T05:23:00Z</dcterms:created>
  <dc:creator>松鼠喵huan</dc:creator>
  <cp:lastModifiedBy>松鼠喵huan</cp:lastModifiedBy>
  <dcterms:modified xsi:type="dcterms:W3CDTF">2021-05-31T05:23:59Z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312536050_cloud</vt:lpwstr>
  </property>
</Properties>
</file>