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附件2: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国家火炬×××特色产业基地发展报告（2019）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撰写提纲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一、2019年度</w:t>
      </w:r>
      <w:r>
        <w:rPr>
          <w:rFonts w:hint="eastAsia" w:ascii="黑体" w:hAnsi="黑体" w:eastAsia="黑体" w:cs="黑体"/>
          <w:sz w:val="32"/>
          <w:szCs w:val="32"/>
        </w:rPr>
        <w:t>火炬基地建设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与发展</w:t>
      </w:r>
      <w:r>
        <w:rPr>
          <w:rFonts w:hint="eastAsia" w:ascii="黑体" w:hAnsi="黑体" w:eastAsia="黑体" w:cs="黑体"/>
          <w:sz w:val="32"/>
          <w:szCs w:val="32"/>
        </w:rPr>
        <w:t>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从以下几个方面进行分析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火炬基地发展的总体状况，包括产业领域、产业布局，特色主导产业情况等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火炬基地经济产出情况，包括工业总产值、总营业收入、上缴税额、净利润、出口创汇情况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人员情况，包括员工总人数、本年度创造就业岗位数、吸纳大学生就业人数、本科以上学历职工数等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科技活动情况，包括科技投入情况，技术合同交易情况、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科技成果转化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知识产权保护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、技术标准研制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、产学研合作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情况、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建立的研发机构情况等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社会效益情况，包括企业孵化培育情况、服务企业情况等；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二、2019年度火炬基地运营管理模式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三、2019年度火炬基地建设的主要政策措施情况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从推动产业结构优化升级、关键技术突破、人才引进等方面介绍2019年度为推动火炬基地高质量发展所制定的政策和措施。（如有公开文件，请附送文件复印件）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四、火炬基地建设的主要经验、问题与挑战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五、2020年度火炬基地工作安排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提出2020年火炬基地工作总体思路，坚持以供给侧结构性改革为主线，紧密结合乡村振兴、城市化等战略，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明确各特色产业领域的发展方向、重点任务以及保障措施，着力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推动高新技术产业化、规模化，促进区域经济持续健康发展。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jc w:val="left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/>
          <w:bCs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28"/>
          <w:lang w:val="en-US" w:eastAsia="zh-CN"/>
        </w:rPr>
        <w:t>要求：至少5000字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5269F4"/>
    <w:multiLevelType w:val="singleLevel"/>
    <w:tmpl w:val="DA5269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D70C7"/>
    <w:rsid w:val="212D7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2020-04-07T04:09:00Z</dcterms:created>
  <dc:creator>孟淑萍</dc:creator>
  <cp:lastModifiedBy>孟淑萍</cp:lastModifiedBy>
  <dcterms:modified xsi:type="dcterms:W3CDTF">2020-04-07T04:10:34Z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